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F9A" w:rsidRDefault="00A7111A">
      <w:pPr>
        <w:pStyle w:val="ad"/>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#102-e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Pr>
          <w:rFonts w:eastAsia="宋体" w:hint="eastAsia"/>
          <w:sz w:val="28"/>
          <w:szCs w:val="22"/>
          <w:lang w:eastAsia="zh-CN"/>
        </w:rPr>
        <w:t>2005480</w:t>
      </w:r>
    </w:p>
    <w:p w:rsidR="00BD7F9A" w:rsidRDefault="00A711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BD7F9A" w:rsidRDefault="00A7111A">
      <w:pPr>
        <w:pStyle w:val="ad"/>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BD7F9A" w:rsidRDefault="00A7111A">
      <w:pPr>
        <w:pStyle w:val="ad"/>
        <w:tabs>
          <w:tab w:val="clear" w:pos="4536"/>
        </w:tabs>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Support additional PDSCH scheduling delay for introduction of 14-HARQ processes in DL for eMTC</w:t>
      </w:r>
    </w:p>
    <w:p w:rsidR="00BD7F9A" w:rsidRDefault="00A7111A">
      <w:pPr>
        <w:pStyle w:val="ad"/>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hint="eastAsia"/>
          <w:sz w:val="24"/>
          <w:szCs w:val="22"/>
          <w:lang w:eastAsia="zh-CN"/>
        </w:rPr>
        <w:t>8.9.2</w:t>
      </w:r>
    </w:p>
    <w:p w:rsidR="00BD7F9A" w:rsidRDefault="00A7111A">
      <w:pPr>
        <w:pStyle w:val="ad"/>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BD7F9A" w:rsidRDefault="00BD7F9A">
      <w:pPr>
        <w:pBdr>
          <w:bottom w:val="single" w:sz="4" w:space="1" w:color="auto"/>
        </w:pBdr>
        <w:tabs>
          <w:tab w:val="left" w:pos="2552"/>
        </w:tabs>
        <w:rPr>
          <w:sz w:val="24"/>
        </w:rPr>
      </w:pPr>
    </w:p>
    <w:p w:rsidR="00BD7F9A" w:rsidRDefault="00A7111A">
      <w:pPr>
        <w:pStyle w:val="1"/>
        <w:spacing w:beforeLines="50" w:before="120" w:afterLines="50" w:after="120" w:line="360" w:lineRule="auto"/>
        <w:ind w:left="431" w:hanging="431"/>
        <w:rPr>
          <w:rFonts w:eastAsia="宋体"/>
          <w:lang w:val="en-US"/>
        </w:rPr>
      </w:pPr>
      <w:r>
        <w:rPr>
          <w:lang w:val="en-US"/>
        </w:rPr>
        <w:t>Introduction</w:t>
      </w:r>
    </w:p>
    <w:p w:rsidR="00BD7F9A" w:rsidRDefault="00A7111A">
      <w:pPr>
        <w:spacing w:beforeLines="50" w:before="120" w:afterLines="50" w:after="120"/>
        <w:ind w:rightChars="50" w:right="110"/>
        <w:jc w:val="both"/>
        <w:rPr>
          <w:rFonts w:ascii="Times New Roman" w:hAnsi="Times New Roman"/>
          <w:sz w:val="20"/>
          <w:szCs w:val="20"/>
        </w:rPr>
      </w:pPr>
      <w:bookmarkStart w:id="6" w:name="OLE_LINK7"/>
      <w:bookmarkStart w:id="7" w:name="OLE_LINK6"/>
      <w:bookmarkStart w:id="8" w:name="OLE_LINK1"/>
      <w:bookmarkStart w:id="9" w:name="OLE_LINK2"/>
      <w:bookmarkEnd w:id="2"/>
      <w:bookmarkEnd w:id="3"/>
      <w:r>
        <w:rPr>
          <w:rFonts w:ascii="Times New Roman" w:hAnsi="Times New Roman"/>
          <w:sz w:val="20"/>
          <w:szCs w:val="20"/>
        </w:rPr>
        <w:t>In RAN</w:t>
      </w:r>
      <w:r>
        <w:rPr>
          <w:rFonts w:ascii="Times New Roman" w:hAnsi="Times New Roman" w:hint="eastAsia"/>
          <w:sz w:val="20"/>
          <w:szCs w:val="20"/>
        </w:rPr>
        <w:t xml:space="preserve"> #8</w:t>
      </w:r>
      <w:r>
        <w:rPr>
          <w:rFonts w:ascii="Times New Roman" w:hAnsi="Times New Roman"/>
          <w:sz w:val="20"/>
          <w:szCs w:val="20"/>
        </w:rPr>
        <w:t xml:space="preserve">8 e-meeting, </w:t>
      </w:r>
      <w:r>
        <w:rPr>
          <w:rFonts w:ascii="Times New Roman" w:hAnsi="Times New Roman" w:hint="eastAsia"/>
          <w:sz w:val="20"/>
          <w:szCs w:val="20"/>
        </w:rPr>
        <w:t xml:space="preserve">the </w:t>
      </w:r>
      <w:r>
        <w:rPr>
          <w:rFonts w:ascii="Times New Roman" w:hAnsi="Times New Roman"/>
          <w:sz w:val="20"/>
          <w:szCs w:val="20"/>
        </w:rPr>
        <w:t>revised</w:t>
      </w:r>
      <w:r>
        <w:rPr>
          <w:rFonts w:ascii="Times New Roman" w:hAnsi="Times New Roman" w:hint="eastAsia"/>
          <w:sz w:val="20"/>
          <w:szCs w:val="20"/>
        </w:rPr>
        <w:t xml:space="preserve"> WID on </w:t>
      </w:r>
      <w:r>
        <w:rPr>
          <w:rFonts w:ascii="Times New Roman" w:hAnsi="Times New Roman"/>
          <w:sz w:val="20"/>
          <w:szCs w:val="20"/>
        </w:rPr>
        <w:t>additional</w:t>
      </w:r>
      <w:r>
        <w:rPr>
          <w:rFonts w:ascii="Times New Roman" w:hAnsi="Times New Roman" w:hint="eastAsia"/>
          <w:sz w:val="20"/>
          <w:szCs w:val="20"/>
        </w:rPr>
        <w:t xml:space="preserve"> </w:t>
      </w:r>
      <w:r>
        <w:rPr>
          <w:rFonts w:ascii="Times New Roman" w:hAnsi="Times New Roman"/>
          <w:sz w:val="20"/>
          <w:szCs w:val="20"/>
        </w:rPr>
        <w:t>enhance</w:t>
      </w:r>
      <w:r>
        <w:rPr>
          <w:rFonts w:ascii="Times New Roman" w:hAnsi="Times New Roman" w:hint="eastAsia"/>
          <w:sz w:val="20"/>
          <w:szCs w:val="20"/>
        </w:rPr>
        <w:t xml:space="preserve">ments for NB-IoT and LTE-MTC was agreed [1]. The following </w:t>
      </w:r>
      <w:r>
        <w:rPr>
          <w:rFonts w:ascii="Times New Roman" w:hAnsi="Times New Roman"/>
          <w:sz w:val="20"/>
          <w:szCs w:val="20"/>
        </w:rPr>
        <w:t xml:space="preserve">objective </w:t>
      </w:r>
      <w:r>
        <w:rPr>
          <w:rFonts w:ascii="Times New Roman" w:hAnsi="Times New Roman" w:hint="eastAsia"/>
          <w:sz w:val="20"/>
          <w:szCs w:val="20"/>
        </w:rPr>
        <w:t xml:space="preserve">was agreed for </w:t>
      </w:r>
      <w:r>
        <w:rPr>
          <w:rFonts w:ascii="Times New Roman" w:hAnsi="Times New Roman"/>
          <w:sz w:val="20"/>
          <w:szCs w:val="20"/>
        </w:rPr>
        <w:t>LTE-</w:t>
      </w:r>
      <w:r>
        <w:rPr>
          <w:rFonts w:ascii="Times New Roman" w:hAnsi="Times New Roman" w:hint="eastAsia"/>
          <w:sz w:val="20"/>
          <w:szCs w:val="20"/>
        </w:rPr>
        <w:t>MTC:</w:t>
      </w:r>
    </w:p>
    <w:p w:rsidR="00BD7F9A" w:rsidRDefault="00A7111A">
      <w:pPr>
        <w:widowControl w:val="0"/>
        <w:numPr>
          <w:ilvl w:val="0"/>
          <w:numId w:val="2"/>
        </w:numPr>
        <w:spacing w:after="0" w:line="360" w:lineRule="auto"/>
        <w:contextualSpacing/>
        <w:jc w:val="both"/>
        <w:rPr>
          <w:rFonts w:ascii="Times New Roman" w:eastAsia="等线" w:hAnsi="Times New Roman"/>
          <w:sz w:val="20"/>
          <w:szCs w:val="20"/>
        </w:rPr>
      </w:pPr>
      <w:r>
        <w:rPr>
          <w:rFonts w:ascii="Times New Roman" w:eastAsia="等线" w:hAnsi="Times New Roman"/>
          <w:sz w:val="20"/>
          <w:szCs w:val="20"/>
        </w:rPr>
        <w:t>Support additional PDSCH scheduling delay for introduction of 14-HARQ processes in DL, for HD-FDD Cat M1 UEs. [LTE-MTC] [RAN1]</w:t>
      </w:r>
    </w:p>
    <w:bookmarkEnd w:id="6"/>
    <w:bookmarkEnd w:id="7"/>
    <w:p w:rsidR="00BD7F9A" w:rsidRDefault="00A7111A">
      <w:pPr>
        <w:spacing w:beforeLines="50" w:before="120" w:afterLines="100" w:after="24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8"/>
      <w:bookmarkEnd w:id="9"/>
      <w:r>
        <w:rPr>
          <w:rFonts w:ascii="Times New Roman" w:hAnsi="Times New Roman" w:hint="eastAsia"/>
          <w:sz w:val="20"/>
          <w:szCs w:val="20"/>
        </w:rPr>
        <w:t xml:space="preserve">additional PDSCH scheduling delay </w:t>
      </w:r>
      <w:r>
        <w:rPr>
          <w:rFonts w:ascii="Times New Roman" w:hAnsi="Times New Roman"/>
          <w:sz w:val="20"/>
          <w:szCs w:val="20"/>
        </w:rPr>
        <w:t xml:space="preserve">and related HARQ-ACK delay </w:t>
      </w:r>
      <w:r>
        <w:rPr>
          <w:rFonts w:ascii="Times New Roman" w:hAnsi="Times New Roman" w:hint="eastAsia"/>
          <w:sz w:val="20"/>
          <w:szCs w:val="20"/>
        </w:rPr>
        <w:t xml:space="preserve">for </w:t>
      </w:r>
      <w:r>
        <w:rPr>
          <w:rFonts w:ascii="Times New Roman" w:hAnsi="Times New Roman"/>
          <w:sz w:val="20"/>
          <w:szCs w:val="20"/>
        </w:rPr>
        <w:t>LTE-</w:t>
      </w:r>
      <w:r>
        <w:rPr>
          <w:rFonts w:ascii="Times New Roman" w:hAnsi="Times New Roman" w:hint="eastAsia"/>
          <w:sz w:val="20"/>
          <w:szCs w:val="20"/>
        </w:rPr>
        <w:t>MTC.</w:t>
      </w:r>
    </w:p>
    <w:p w:rsidR="00BD7F9A" w:rsidRDefault="00A7111A">
      <w:pPr>
        <w:pStyle w:val="1"/>
        <w:spacing w:beforeLines="50" w:before="120" w:afterLines="50" w:after="120" w:line="360" w:lineRule="auto"/>
        <w:ind w:left="431" w:hanging="431"/>
        <w:rPr>
          <w:lang w:val="en-US"/>
        </w:rPr>
      </w:pPr>
      <w:r>
        <w:rPr>
          <w:rFonts w:hint="eastAsia"/>
          <w:lang w:val="en-US"/>
        </w:rPr>
        <w:t xml:space="preserve">Discussion </w:t>
      </w:r>
    </w:p>
    <w:p w:rsidR="00BD7F9A" w:rsidRDefault="00A7111A" w:rsidP="00B556DE">
      <w:pPr>
        <w:spacing w:beforeLines="50" w:before="120" w:afterLines="50" w:after="120"/>
        <w:ind w:rightChars="50" w:right="110"/>
        <w:jc w:val="both"/>
        <w:rPr>
          <w:rFonts w:ascii="Times New Roman" w:hAnsi="Times New Roman"/>
          <w:sz w:val="20"/>
          <w:szCs w:val="20"/>
        </w:rPr>
      </w:pPr>
      <w:r>
        <w:rPr>
          <w:rFonts w:ascii="Times New Roman" w:hAnsi="Times New Roman" w:hint="eastAsia"/>
          <w:sz w:val="20"/>
          <w:szCs w:val="20"/>
        </w:rPr>
        <w:t xml:space="preserve">The HARQ processes supported by existing HD-FDD MTC UE are shown in Figure 1. The value of PDSCH scheduling delay is fixed to 2. The HARQ-ACK delay is indicated by DCI. The value of HARQ-ACK delay is shown in Table 7.3.1-2 </w:t>
      </w:r>
      <w:r>
        <w:rPr>
          <w:rFonts w:ascii="Times New Roman" w:hAnsi="Times New Roman"/>
          <w:sz w:val="20"/>
          <w:szCs w:val="20"/>
        </w:rPr>
        <w:t xml:space="preserve">of TS 36.213 </w:t>
      </w:r>
      <w:r>
        <w:rPr>
          <w:rFonts w:ascii="Times New Roman" w:hAnsi="Times New Roman" w:hint="eastAsia"/>
          <w:sz w:val="20"/>
          <w:szCs w:val="20"/>
        </w:rPr>
        <w:t>[2].</w:t>
      </w:r>
    </w:p>
    <w:p w:rsidR="00BD7F9A" w:rsidRDefault="00A7111A">
      <w:pPr>
        <w:spacing w:beforeLines="50" w:before="120" w:afterLines="50" w:after="120"/>
        <w:ind w:rightChars="50" w:right="110"/>
        <w:jc w:val="center"/>
      </w:pPr>
      <w:r>
        <w:rPr>
          <w:noProof/>
        </w:rPr>
        <w:drawing>
          <wp:inline distT="0" distB="0" distL="114300" distR="114300">
            <wp:extent cx="3314700" cy="1080135"/>
            <wp:effectExtent l="0" t="0" r="0" b="571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3314700" cy="1080135"/>
                    </a:xfrm>
                    <a:prstGeom prst="rect">
                      <a:avLst/>
                    </a:prstGeom>
                    <a:noFill/>
                    <a:ln>
                      <a:noFill/>
                    </a:ln>
                  </pic:spPr>
                </pic:pic>
              </a:graphicData>
            </a:graphic>
          </wp:inline>
        </w:drawing>
      </w:r>
    </w:p>
    <w:p w:rsidR="00BD7F9A" w:rsidRDefault="00A7111A">
      <w:pPr>
        <w:spacing w:beforeLines="50" w:before="120" w:afterLines="50" w:after="120"/>
        <w:ind w:rightChars="50" w:right="110"/>
        <w:jc w:val="center"/>
        <w:rPr>
          <w:rFonts w:ascii="Times New Roman" w:hAnsi="Times New Roman"/>
          <w:sz w:val="20"/>
          <w:szCs w:val="20"/>
        </w:rPr>
      </w:pPr>
      <w:r>
        <w:rPr>
          <w:rFonts w:ascii="Times New Roman" w:hAnsi="Times New Roman" w:hint="eastAsia"/>
          <w:sz w:val="20"/>
          <w:szCs w:val="20"/>
        </w:rPr>
        <w:t>Figure 1 Diagram of existing PDSCH scheduling</w:t>
      </w:r>
    </w:p>
    <w:p w:rsidR="00BD7F9A" w:rsidRDefault="00A7111A" w:rsidP="00B556DE">
      <w:pPr>
        <w:spacing w:beforeLines="50" w:before="120" w:after="120"/>
        <w:jc w:val="both"/>
        <w:rPr>
          <w:rFonts w:ascii="Times New Roman" w:hAnsi="Times New Roman"/>
          <w:sz w:val="20"/>
          <w:szCs w:val="20"/>
        </w:rPr>
      </w:pPr>
      <w:r>
        <w:rPr>
          <w:rFonts w:ascii="Times New Roman" w:hAnsi="Times New Roman"/>
          <w:sz w:val="20"/>
          <w:szCs w:val="20"/>
        </w:rPr>
        <w:t xml:space="preserve">The intention of </w:t>
      </w:r>
      <w:r>
        <w:rPr>
          <w:rFonts w:ascii="Times New Roman" w:eastAsia="等线" w:hAnsi="Times New Roman"/>
          <w:sz w:val="20"/>
          <w:szCs w:val="20"/>
        </w:rPr>
        <w:t>introduction of 14-HARQ processes in DL</w:t>
      </w:r>
      <w:r>
        <w:rPr>
          <w:rFonts w:ascii="Times New Roman" w:hAnsi="Times New Roman"/>
          <w:sz w:val="20"/>
          <w:szCs w:val="20"/>
        </w:rPr>
        <w:t xml:space="preserve"> is</w:t>
      </w:r>
      <w:r>
        <w:rPr>
          <w:rFonts w:ascii="Times New Roman" w:hAnsi="Times New Roman" w:hint="eastAsia"/>
          <w:sz w:val="20"/>
          <w:szCs w:val="20"/>
        </w:rPr>
        <w:t xml:space="preserve"> to increase the peak data rate. The details of 14 HARQ processes are shown in Figure 2. Based on Figure 2, the value of PDSCH scheduling</w:t>
      </w:r>
      <w:r>
        <w:rPr>
          <w:rFonts w:ascii="Times New Roman" w:hAnsi="Times New Roman"/>
          <w:sz w:val="20"/>
          <w:szCs w:val="20"/>
        </w:rPr>
        <w:t xml:space="preserve"> delay</w:t>
      </w:r>
      <w:r>
        <w:rPr>
          <w:rFonts w:ascii="Times New Roman" w:hAnsi="Times New Roman" w:hint="eastAsia"/>
          <w:sz w:val="20"/>
          <w:szCs w:val="20"/>
        </w:rPr>
        <w:t xml:space="preserve"> is 7 in addition to 2.</w:t>
      </w:r>
    </w:p>
    <w:p w:rsidR="00BD7F9A" w:rsidRDefault="00A7111A">
      <w:r>
        <w:rPr>
          <w:rFonts w:hint="eastAsia"/>
        </w:rPr>
        <w:t xml:space="preserve"> </w:t>
      </w:r>
      <w:r>
        <w:rPr>
          <w:noProof/>
        </w:rPr>
        <w:drawing>
          <wp:inline distT="0" distB="0" distL="114300" distR="114300">
            <wp:extent cx="6214745" cy="1440180"/>
            <wp:effectExtent l="0" t="0" r="1460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6214745" cy="1440180"/>
                    </a:xfrm>
                    <a:prstGeom prst="rect">
                      <a:avLst/>
                    </a:prstGeom>
                    <a:noFill/>
                    <a:ln>
                      <a:noFill/>
                    </a:ln>
                  </pic:spPr>
                </pic:pic>
              </a:graphicData>
            </a:graphic>
          </wp:inline>
        </w:drawing>
      </w:r>
    </w:p>
    <w:p w:rsidR="00BD7F9A" w:rsidRDefault="00A7111A">
      <w:pPr>
        <w:jc w:val="center"/>
        <w:rPr>
          <w:rFonts w:ascii="Times New Roman" w:hAnsi="Times New Roman"/>
          <w:sz w:val="20"/>
          <w:szCs w:val="20"/>
        </w:rPr>
      </w:pPr>
      <w:r>
        <w:rPr>
          <w:rFonts w:ascii="Times New Roman" w:hAnsi="Times New Roman" w:hint="eastAsia"/>
          <w:sz w:val="20"/>
          <w:szCs w:val="20"/>
        </w:rPr>
        <w:t>Figure 2 Diagram of 14 HARQ processes timeline</w:t>
      </w:r>
    </w:p>
    <w:p w:rsidR="00BD7F9A" w:rsidRDefault="00A7111A" w:rsidP="00B556DE">
      <w:pPr>
        <w:spacing w:beforeLines="50" w:before="120" w:after="120"/>
        <w:jc w:val="both"/>
        <w:rPr>
          <w:rFonts w:ascii="Times New Roman" w:hAnsi="Times New Roman"/>
          <w:sz w:val="20"/>
          <w:szCs w:val="20"/>
        </w:rPr>
      </w:pPr>
      <w:r>
        <w:rPr>
          <w:rFonts w:ascii="Times New Roman" w:hAnsi="Times New Roman"/>
          <w:sz w:val="20"/>
          <w:szCs w:val="20"/>
        </w:rPr>
        <w:lastRenderedPageBreak/>
        <w:t xml:space="preserve">During Rel-16 TEI discussion, </w:t>
      </w:r>
      <w:r>
        <w:rPr>
          <w:rFonts w:ascii="Times New Roman" w:hAnsi="Times New Roman" w:hint="eastAsia"/>
          <w:sz w:val="20"/>
          <w:szCs w:val="20"/>
        </w:rPr>
        <w:t xml:space="preserve">two implementation options </w:t>
      </w:r>
      <w:r>
        <w:rPr>
          <w:rFonts w:ascii="Times New Roman" w:hAnsi="Times New Roman"/>
          <w:sz w:val="20"/>
          <w:szCs w:val="20"/>
        </w:rPr>
        <w:t xml:space="preserve">were proposed </w:t>
      </w:r>
      <w:r>
        <w:rPr>
          <w:rFonts w:ascii="Times New Roman" w:hAnsi="Times New Roman" w:hint="eastAsia"/>
          <w:sz w:val="20"/>
          <w:szCs w:val="20"/>
        </w:rPr>
        <w:t>to indicate the value of PDSCH scheduling</w:t>
      </w:r>
      <w:r>
        <w:rPr>
          <w:rFonts w:ascii="Times New Roman" w:hAnsi="Times New Roman"/>
          <w:sz w:val="20"/>
          <w:szCs w:val="20"/>
        </w:rPr>
        <w:t xml:space="preserve"> delay</w:t>
      </w:r>
      <w:r>
        <w:rPr>
          <w:rFonts w:ascii="Times New Roman" w:hAnsi="Times New Roman" w:hint="eastAsia"/>
          <w:sz w:val="20"/>
          <w:szCs w:val="20"/>
        </w:rPr>
        <w:t xml:space="preserve"> [3]. </w:t>
      </w:r>
      <w:r>
        <w:rPr>
          <w:rFonts w:ascii="Times New Roman" w:hAnsi="Times New Roman"/>
          <w:sz w:val="20"/>
          <w:szCs w:val="20"/>
        </w:rPr>
        <w:t>T</w:t>
      </w:r>
      <w:r>
        <w:rPr>
          <w:rFonts w:ascii="Times New Roman" w:hAnsi="Times New Roman" w:hint="eastAsia"/>
          <w:sz w:val="20"/>
          <w:szCs w:val="20"/>
        </w:rPr>
        <w:t xml:space="preserve">he value of supported HARQ-ACK delay of implementation option 1 is shown in Table 1. </w:t>
      </w:r>
    </w:p>
    <w:p w:rsidR="00BD7F9A" w:rsidRDefault="00A7111A">
      <w:pPr>
        <w:spacing w:beforeLines="50" w:before="120" w:after="120"/>
        <w:jc w:val="center"/>
        <w:rPr>
          <w:rFonts w:ascii="Times New Roman" w:hAnsi="Times New Roman"/>
          <w:sz w:val="20"/>
          <w:szCs w:val="20"/>
        </w:rPr>
      </w:pPr>
      <w:r>
        <w:rPr>
          <w:rFonts w:ascii="Times New Roman" w:hAnsi="Times New Roman"/>
          <w:sz w:val="20"/>
          <w:szCs w:val="20"/>
        </w:rPr>
        <w:t>Table 1 The value of supported HARQ-ACK delay of implementation option 1</w:t>
      </w:r>
    </w:p>
    <w:tbl>
      <w:tblPr>
        <w:tblW w:w="4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2137"/>
      </w:tblGrid>
      <w:tr w:rsidR="00BD7F9A">
        <w:trPr>
          <w:cantSplit/>
          <w:jc w:val="center"/>
        </w:trPr>
        <w:tc>
          <w:tcPr>
            <w:tcW w:w="1954" w:type="dxa"/>
            <w:shd w:val="clear" w:color="auto" w:fill="E0E0E0"/>
            <w:vAlign w:val="center"/>
          </w:tcPr>
          <w:p w:rsidR="00BD7F9A" w:rsidRDefault="00A7111A">
            <w:pPr>
              <w:pStyle w:val="TAH"/>
            </w:pPr>
            <w:r>
              <w:rPr>
                <w:lang w:eastAsia="zh-CN"/>
              </w:rPr>
              <w:t>'HARQ-ID’ field in DCI</w:t>
            </w:r>
          </w:p>
        </w:tc>
        <w:tc>
          <w:tcPr>
            <w:tcW w:w="2137" w:type="dxa"/>
            <w:shd w:val="clear" w:color="auto" w:fill="E0E0E0"/>
            <w:vAlign w:val="center"/>
          </w:tcPr>
          <w:p w:rsidR="00BD7F9A" w:rsidRDefault="00A7111A">
            <w:pPr>
              <w:pStyle w:val="TAH"/>
            </w:pPr>
            <w:r>
              <w:t>HARQ-ACK delay</w:t>
            </w:r>
          </w:p>
        </w:tc>
      </w:tr>
      <w:tr w:rsidR="00BD7F9A">
        <w:trPr>
          <w:cantSplit/>
          <w:jc w:val="center"/>
        </w:trPr>
        <w:tc>
          <w:tcPr>
            <w:tcW w:w="1954" w:type="dxa"/>
            <w:vAlign w:val="center"/>
          </w:tcPr>
          <w:p w:rsidR="00BD7F9A" w:rsidRDefault="00A7111A">
            <w:pPr>
              <w:pStyle w:val="TAC"/>
            </w:pPr>
            <w:r>
              <w:t>10</w:t>
            </w:r>
          </w:p>
        </w:tc>
        <w:tc>
          <w:tcPr>
            <w:tcW w:w="2137" w:type="dxa"/>
            <w:vAlign w:val="center"/>
          </w:tcPr>
          <w:p w:rsidR="00BD7F9A" w:rsidRDefault="00A7111A">
            <w:pPr>
              <w:pStyle w:val="TAC"/>
            </w:pPr>
            <w:r>
              <w:t>4</w:t>
            </w:r>
          </w:p>
        </w:tc>
      </w:tr>
      <w:tr w:rsidR="00BD7F9A">
        <w:trPr>
          <w:cantSplit/>
          <w:jc w:val="center"/>
        </w:trPr>
        <w:tc>
          <w:tcPr>
            <w:tcW w:w="1954" w:type="dxa"/>
            <w:vAlign w:val="center"/>
          </w:tcPr>
          <w:p w:rsidR="00BD7F9A" w:rsidRDefault="00A7111A">
            <w:pPr>
              <w:pStyle w:val="TAC"/>
            </w:pPr>
            <w:r>
              <w:t>11</w:t>
            </w:r>
          </w:p>
        </w:tc>
        <w:tc>
          <w:tcPr>
            <w:tcW w:w="2137" w:type="dxa"/>
            <w:vAlign w:val="center"/>
          </w:tcPr>
          <w:p w:rsidR="00BD7F9A" w:rsidRDefault="00A7111A">
            <w:pPr>
              <w:pStyle w:val="TAC"/>
            </w:pPr>
            <w:r>
              <w:t>5</w:t>
            </w:r>
          </w:p>
        </w:tc>
      </w:tr>
      <w:tr w:rsidR="00BD7F9A">
        <w:trPr>
          <w:cantSplit/>
          <w:jc w:val="center"/>
        </w:trPr>
        <w:tc>
          <w:tcPr>
            <w:tcW w:w="1954" w:type="dxa"/>
            <w:vAlign w:val="center"/>
          </w:tcPr>
          <w:p w:rsidR="00BD7F9A" w:rsidRDefault="00A7111A">
            <w:pPr>
              <w:pStyle w:val="TAC"/>
            </w:pPr>
            <w:r>
              <w:t>12</w:t>
            </w:r>
          </w:p>
        </w:tc>
        <w:tc>
          <w:tcPr>
            <w:tcW w:w="2137" w:type="dxa"/>
            <w:vAlign w:val="center"/>
          </w:tcPr>
          <w:p w:rsidR="00BD7F9A" w:rsidRDefault="00A7111A">
            <w:pPr>
              <w:pStyle w:val="TAC"/>
            </w:pPr>
            <w:r>
              <w:t>7</w:t>
            </w:r>
          </w:p>
        </w:tc>
      </w:tr>
      <w:tr w:rsidR="00BD7F9A">
        <w:trPr>
          <w:cantSplit/>
          <w:jc w:val="center"/>
        </w:trPr>
        <w:tc>
          <w:tcPr>
            <w:tcW w:w="1954" w:type="dxa"/>
            <w:vAlign w:val="center"/>
          </w:tcPr>
          <w:p w:rsidR="00BD7F9A" w:rsidRDefault="00A7111A">
            <w:pPr>
              <w:pStyle w:val="TAC"/>
            </w:pPr>
            <w:r>
              <w:t>13</w:t>
            </w:r>
          </w:p>
        </w:tc>
        <w:tc>
          <w:tcPr>
            <w:tcW w:w="2137" w:type="dxa"/>
            <w:vAlign w:val="center"/>
          </w:tcPr>
          <w:p w:rsidR="00BD7F9A" w:rsidRDefault="00A7111A">
            <w:pPr>
              <w:pStyle w:val="TAC"/>
            </w:pPr>
            <w:r>
              <w:t>9</w:t>
            </w:r>
          </w:p>
        </w:tc>
      </w:tr>
      <w:tr w:rsidR="00BD7F9A">
        <w:trPr>
          <w:cantSplit/>
          <w:jc w:val="center"/>
        </w:trPr>
        <w:tc>
          <w:tcPr>
            <w:tcW w:w="1954" w:type="dxa"/>
            <w:vAlign w:val="center"/>
          </w:tcPr>
          <w:p w:rsidR="00BD7F9A" w:rsidRDefault="00A7111A">
            <w:pPr>
              <w:pStyle w:val="TAC"/>
            </w:pPr>
            <w:r>
              <w:t>14</w:t>
            </w:r>
          </w:p>
        </w:tc>
        <w:tc>
          <w:tcPr>
            <w:tcW w:w="2137" w:type="dxa"/>
            <w:vAlign w:val="center"/>
          </w:tcPr>
          <w:p w:rsidR="00BD7F9A" w:rsidRDefault="00A7111A">
            <w:pPr>
              <w:pStyle w:val="TAC"/>
            </w:pPr>
            <w:r>
              <w:t>11</w:t>
            </w:r>
          </w:p>
        </w:tc>
      </w:tr>
      <w:tr w:rsidR="00BD7F9A">
        <w:trPr>
          <w:cantSplit/>
          <w:jc w:val="center"/>
        </w:trPr>
        <w:tc>
          <w:tcPr>
            <w:tcW w:w="1954" w:type="dxa"/>
            <w:vAlign w:val="center"/>
          </w:tcPr>
          <w:p w:rsidR="00BD7F9A" w:rsidRDefault="00A7111A">
            <w:pPr>
              <w:pStyle w:val="TAC"/>
            </w:pPr>
            <w:r>
              <w:t>15</w:t>
            </w:r>
          </w:p>
        </w:tc>
        <w:tc>
          <w:tcPr>
            <w:tcW w:w="2137" w:type="dxa"/>
            <w:vAlign w:val="center"/>
          </w:tcPr>
          <w:p w:rsidR="00BD7F9A" w:rsidRDefault="00A7111A">
            <w:pPr>
              <w:pStyle w:val="TAC"/>
            </w:pPr>
            <w:r>
              <w:t>13</w:t>
            </w:r>
          </w:p>
        </w:tc>
      </w:tr>
    </w:tbl>
    <w:p w:rsidR="00BD7F9A" w:rsidRDefault="00A7111A" w:rsidP="00B556DE">
      <w:pPr>
        <w:spacing w:beforeLines="50" w:before="120" w:after="240"/>
        <w:jc w:val="both"/>
        <w:rPr>
          <w:rFonts w:ascii="Times New Roman" w:hAnsi="Times New Roman"/>
          <w:sz w:val="20"/>
          <w:szCs w:val="20"/>
        </w:rPr>
      </w:pPr>
      <w:r>
        <w:rPr>
          <w:rFonts w:ascii="Times New Roman" w:hAnsi="Times New Roman" w:hint="eastAsia"/>
          <w:sz w:val="20"/>
          <w:szCs w:val="20"/>
        </w:rPr>
        <w:t>Fr</w:t>
      </w:r>
      <w:r>
        <w:rPr>
          <w:rFonts w:ascii="Times New Roman" w:hAnsi="Times New Roman"/>
          <w:sz w:val="20"/>
          <w:szCs w:val="20"/>
        </w:rPr>
        <w:t>o</w:t>
      </w:r>
      <w:r>
        <w:rPr>
          <w:rFonts w:ascii="Times New Roman" w:hAnsi="Times New Roman" w:hint="eastAsia"/>
          <w:sz w:val="20"/>
          <w:szCs w:val="20"/>
        </w:rPr>
        <w:t>m Table 1, we can conclude that the value of supported HARQ-ACK delay is {4,</w:t>
      </w:r>
      <w:r>
        <w:rPr>
          <w:rFonts w:ascii="Times New Roman" w:hAnsi="Times New Roman"/>
          <w:sz w:val="20"/>
          <w:szCs w:val="20"/>
        </w:rPr>
        <w:t xml:space="preserve"> </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9,</w:t>
      </w:r>
      <w:r>
        <w:rPr>
          <w:rFonts w:ascii="Times New Roman" w:hAnsi="Times New Roman"/>
          <w:sz w:val="20"/>
          <w:szCs w:val="20"/>
        </w:rPr>
        <w:t xml:space="preserve"> </w:t>
      </w:r>
      <w:r>
        <w:rPr>
          <w:rFonts w:ascii="Times New Roman" w:hAnsi="Times New Roman" w:hint="eastAsia"/>
          <w:sz w:val="20"/>
          <w:szCs w:val="20"/>
        </w:rPr>
        <w:t>11,</w:t>
      </w:r>
      <w:r>
        <w:rPr>
          <w:rFonts w:ascii="Times New Roman" w:hAnsi="Times New Roman"/>
          <w:sz w:val="20"/>
          <w:szCs w:val="20"/>
        </w:rPr>
        <w:t xml:space="preserve"> </w:t>
      </w:r>
      <w:r>
        <w:rPr>
          <w:rFonts w:ascii="Times New Roman" w:hAnsi="Times New Roman" w:hint="eastAsia"/>
          <w:sz w:val="20"/>
          <w:szCs w:val="20"/>
        </w:rPr>
        <w:t xml:space="preserve">13} </w:t>
      </w:r>
      <w:r>
        <w:rPr>
          <w:rFonts w:ascii="Times New Roman" w:hAnsi="Times New Roman"/>
          <w:sz w:val="20"/>
          <w:szCs w:val="20"/>
        </w:rPr>
        <w:t xml:space="preserve">regardless of </w:t>
      </w:r>
      <w:r>
        <w:rPr>
          <w:rFonts w:ascii="Times New Roman" w:hAnsi="Times New Roman" w:hint="eastAsia"/>
          <w:sz w:val="20"/>
          <w:szCs w:val="20"/>
        </w:rPr>
        <w:t>whether the PDSCH scheduling</w:t>
      </w:r>
      <w:r>
        <w:rPr>
          <w:rFonts w:ascii="Times New Roman" w:hAnsi="Times New Roman"/>
          <w:sz w:val="20"/>
          <w:szCs w:val="20"/>
        </w:rPr>
        <w:t xml:space="preserve"> delay </w:t>
      </w:r>
      <w:r>
        <w:rPr>
          <w:rFonts w:ascii="Times New Roman" w:hAnsi="Times New Roman" w:hint="eastAsia"/>
          <w:sz w:val="20"/>
          <w:szCs w:val="20"/>
        </w:rPr>
        <w:t xml:space="preserve">value is 2 or 7. For PDSCH with the PDSCH scheduling </w:t>
      </w:r>
      <w:r>
        <w:rPr>
          <w:rFonts w:ascii="Times New Roman" w:hAnsi="Times New Roman"/>
          <w:sz w:val="20"/>
          <w:szCs w:val="20"/>
        </w:rPr>
        <w:t xml:space="preserve">delay </w:t>
      </w:r>
      <w:r>
        <w:rPr>
          <w:rFonts w:ascii="Times New Roman" w:hAnsi="Times New Roman" w:hint="eastAsia"/>
          <w:sz w:val="20"/>
          <w:szCs w:val="20"/>
        </w:rPr>
        <w:t>value of 2, the value of supported HARQ-ACK delay should be {4,</w:t>
      </w:r>
      <w:r>
        <w:rPr>
          <w:rFonts w:ascii="Times New Roman" w:hAnsi="Times New Roman"/>
          <w:sz w:val="20"/>
          <w:szCs w:val="20"/>
        </w:rPr>
        <w:t xml:space="preserve"> </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6,</w:t>
      </w:r>
      <w:r>
        <w:rPr>
          <w:rFonts w:ascii="Times New Roman" w:hAnsi="Times New Roman"/>
          <w:sz w:val="20"/>
          <w:szCs w:val="20"/>
        </w:rPr>
        <w:t xml:space="preserve"> </w:t>
      </w: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8,</w:t>
      </w:r>
      <w:r>
        <w:rPr>
          <w:rFonts w:ascii="Times New Roman" w:hAnsi="Times New Roman"/>
          <w:sz w:val="20"/>
          <w:szCs w:val="20"/>
        </w:rPr>
        <w:t xml:space="preserve"> </w:t>
      </w:r>
      <w:r>
        <w:rPr>
          <w:rFonts w:ascii="Times New Roman" w:hAnsi="Times New Roman" w:hint="eastAsia"/>
          <w:sz w:val="20"/>
          <w:szCs w:val="20"/>
        </w:rPr>
        <w:t>9,</w:t>
      </w:r>
      <w:r>
        <w:rPr>
          <w:rFonts w:ascii="Times New Roman" w:hAnsi="Times New Roman"/>
          <w:sz w:val="20"/>
          <w:szCs w:val="20"/>
        </w:rPr>
        <w:t xml:space="preserve"> </w:t>
      </w:r>
      <w:r>
        <w:rPr>
          <w:rFonts w:ascii="Times New Roman" w:hAnsi="Times New Roman" w:hint="eastAsia"/>
          <w:sz w:val="20"/>
          <w:szCs w:val="20"/>
        </w:rPr>
        <w:t>10,</w:t>
      </w:r>
      <w:r>
        <w:rPr>
          <w:rFonts w:ascii="Times New Roman" w:hAnsi="Times New Roman"/>
          <w:sz w:val="20"/>
          <w:szCs w:val="20"/>
        </w:rPr>
        <w:t xml:space="preserve"> </w:t>
      </w:r>
      <w:r>
        <w:rPr>
          <w:rFonts w:ascii="Times New Roman" w:hAnsi="Times New Roman" w:hint="eastAsia"/>
          <w:sz w:val="20"/>
          <w:szCs w:val="20"/>
        </w:rPr>
        <w:t xml:space="preserve">11} to ensure that the number of supported bundling pattern is same as legacy UE. </w:t>
      </w:r>
      <w:r>
        <w:rPr>
          <w:rFonts w:ascii="Times New Roman" w:hAnsi="Times New Roman"/>
          <w:sz w:val="20"/>
          <w:szCs w:val="20"/>
        </w:rPr>
        <w:t>Otherwise some bundling pattern</w:t>
      </w:r>
      <w:r>
        <w:rPr>
          <w:rFonts w:ascii="Times New Roman" w:hAnsi="Times New Roman" w:hint="eastAsia"/>
          <w:sz w:val="20"/>
          <w:szCs w:val="20"/>
        </w:rPr>
        <w:t>s</w:t>
      </w:r>
      <w:r>
        <w:rPr>
          <w:rFonts w:ascii="Times New Roman" w:hAnsi="Times New Roman"/>
          <w:sz w:val="20"/>
          <w:szCs w:val="20"/>
        </w:rPr>
        <w:t xml:space="preserve"> cannot be supported. </w:t>
      </w:r>
      <w:r>
        <w:rPr>
          <w:rFonts w:ascii="Times New Roman" w:hAnsi="Times New Roman" w:hint="eastAsia"/>
          <w:sz w:val="20"/>
          <w:szCs w:val="20"/>
        </w:rPr>
        <w:t xml:space="preserve">For example, in implementation option 1, the bundling </w:t>
      </w:r>
      <w:r w:rsidR="0046779E">
        <w:rPr>
          <w:rFonts w:ascii="Times New Roman" w:hAnsi="Times New Roman"/>
          <w:sz w:val="20"/>
          <w:szCs w:val="20"/>
        </w:rPr>
        <w:t>pattern shown</w:t>
      </w:r>
      <w:r>
        <w:rPr>
          <w:rFonts w:ascii="Times New Roman" w:hAnsi="Times New Roman" w:hint="eastAsia"/>
          <w:sz w:val="20"/>
          <w:szCs w:val="20"/>
        </w:rPr>
        <w:t xml:space="preserve"> in Figure 3 cannot be supported. For PDSCH with PDSCH scheduling </w:t>
      </w:r>
      <w:r>
        <w:rPr>
          <w:rFonts w:ascii="Times New Roman" w:hAnsi="Times New Roman"/>
          <w:sz w:val="20"/>
          <w:szCs w:val="20"/>
        </w:rPr>
        <w:t xml:space="preserve">delay </w:t>
      </w:r>
      <w:r>
        <w:rPr>
          <w:rFonts w:ascii="Times New Roman" w:hAnsi="Times New Roman" w:hint="eastAsia"/>
          <w:sz w:val="20"/>
          <w:szCs w:val="20"/>
        </w:rPr>
        <w:t xml:space="preserve">value of 7, the value of HARQ-ACK delay </w:t>
      </w:r>
      <w:r>
        <w:rPr>
          <w:rFonts w:ascii="Times New Roman" w:hAnsi="Times New Roman"/>
          <w:sz w:val="20"/>
          <w:szCs w:val="20"/>
        </w:rPr>
        <w:t xml:space="preserve">should </w:t>
      </w:r>
      <w:r>
        <w:rPr>
          <w:rFonts w:ascii="Times New Roman" w:hAnsi="Times New Roman" w:hint="eastAsia"/>
          <w:sz w:val="20"/>
          <w:szCs w:val="20"/>
        </w:rPr>
        <w:t>contain</w:t>
      </w:r>
      <w:r>
        <w:rPr>
          <w:rFonts w:ascii="Times New Roman" w:hAnsi="Times New Roman"/>
          <w:sz w:val="20"/>
          <w:szCs w:val="20"/>
        </w:rPr>
        <w:t xml:space="preserve"> </w:t>
      </w:r>
      <w:r>
        <w:rPr>
          <w:rFonts w:ascii="Times New Roman" w:hAnsi="Times New Roman" w:hint="eastAsia"/>
          <w:sz w:val="20"/>
          <w:szCs w:val="20"/>
        </w:rPr>
        <w:t>{12, 13} if the bundling pattern in Figure 3 needs to be supported. But the HARQ-ACK delay of implementation option 1 only contains 13</w:t>
      </w:r>
      <w:r>
        <w:rPr>
          <w:rFonts w:ascii="Times New Roman" w:hAnsi="Times New Roman"/>
          <w:sz w:val="20"/>
          <w:szCs w:val="20"/>
        </w:rPr>
        <w:t>.</w:t>
      </w:r>
    </w:p>
    <w:p w:rsidR="00BD7F9A" w:rsidRDefault="00A7111A">
      <w:pPr>
        <w:jc w:val="center"/>
      </w:pPr>
      <w:r>
        <w:rPr>
          <w:noProof/>
        </w:rPr>
        <w:drawing>
          <wp:inline distT="0" distB="0" distL="114300" distR="114300">
            <wp:extent cx="3170555" cy="1080135"/>
            <wp:effectExtent l="0" t="0" r="10795" b="5715"/>
            <wp:docPr id="3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图片 12"/>
                    <pic:cNvPicPr>
                      <a:picLocks noChangeAspect="1"/>
                    </pic:cNvPicPr>
                  </pic:nvPicPr>
                  <pic:blipFill>
                    <a:blip r:embed="rId11"/>
                    <a:stretch>
                      <a:fillRect/>
                    </a:stretch>
                  </pic:blipFill>
                  <pic:spPr>
                    <a:xfrm>
                      <a:off x="0" y="0"/>
                      <a:ext cx="3170555" cy="1080135"/>
                    </a:xfrm>
                    <a:prstGeom prst="rect">
                      <a:avLst/>
                    </a:prstGeom>
                    <a:noFill/>
                    <a:ln>
                      <a:noFill/>
                    </a:ln>
                  </pic:spPr>
                </pic:pic>
              </a:graphicData>
            </a:graphic>
          </wp:inline>
        </w:drawing>
      </w:r>
    </w:p>
    <w:p w:rsidR="00BD7F9A" w:rsidRDefault="00A7111A">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Example of t</w:t>
      </w:r>
      <w:r>
        <w:rPr>
          <w:rFonts w:ascii="Times New Roman" w:hAnsi="Times New Roman"/>
          <w:sz w:val="20"/>
          <w:szCs w:val="20"/>
        </w:rPr>
        <w:t>he bundling window</w:t>
      </w:r>
    </w:p>
    <w:p w:rsidR="00BD7F9A" w:rsidRDefault="00A7111A" w:rsidP="00B556DE">
      <w:pPr>
        <w:spacing w:beforeLines="50" w:before="120" w:afterLines="50" w:after="120"/>
        <w:jc w:val="both"/>
        <w:rPr>
          <w:rFonts w:ascii="Times New Roman" w:hAnsi="Times New Roman"/>
          <w:sz w:val="20"/>
          <w:szCs w:val="20"/>
        </w:rPr>
      </w:pPr>
      <w:r>
        <w:rPr>
          <w:rFonts w:ascii="Times New Roman" w:hAnsi="Times New Roman" w:hint="eastAsia"/>
          <w:sz w:val="20"/>
          <w:szCs w:val="20"/>
        </w:rPr>
        <w:t>In implementation option 2, one additional bit in DCI is used to indicate PDSCH scheduling delay and t</w:t>
      </w:r>
      <w:r>
        <w:rPr>
          <w:rFonts w:ascii="Times New Roman" w:hAnsi="Times New Roman"/>
          <w:sz w:val="20"/>
          <w:szCs w:val="20"/>
        </w:rPr>
        <w:t xml:space="preserve">he value of supported HARQ-ACK delay is </w:t>
      </w:r>
      <w:r>
        <w:rPr>
          <w:rFonts w:ascii="Times New Roman" w:hAnsi="Times New Roman" w:hint="eastAsia"/>
          <w:sz w:val="20"/>
          <w:szCs w:val="20"/>
        </w:rPr>
        <w:t>{4,</w:t>
      </w:r>
      <w:r>
        <w:rPr>
          <w:rFonts w:ascii="Times New Roman" w:hAnsi="Times New Roman"/>
          <w:sz w:val="20"/>
          <w:szCs w:val="20"/>
        </w:rPr>
        <w:t xml:space="preserve"> </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6,</w:t>
      </w:r>
      <w:r>
        <w:rPr>
          <w:rFonts w:ascii="Times New Roman" w:hAnsi="Times New Roman"/>
          <w:sz w:val="20"/>
          <w:szCs w:val="20"/>
        </w:rPr>
        <w:t xml:space="preserve"> </w:t>
      </w:r>
      <w:r>
        <w:rPr>
          <w:rFonts w:ascii="Times New Roman" w:hAnsi="Times New Roman" w:hint="eastAsia"/>
          <w:sz w:val="20"/>
          <w:szCs w:val="20"/>
        </w:rPr>
        <w:t>7,</w:t>
      </w:r>
      <w:r>
        <w:rPr>
          <w:rFonts w:ascii="Times New Roman" w:hAnsi="Times New Roman"/>
          <w:sz w:val="20"/>
          <w:szCs w:val="20"/>
        </w:rPr>
        <w:t xml:space="preserve"> </w:t>
      </w:r>
      <w:r>
        <w:rPr>
          <w:rFonts w:ascii="Times New Roman" w:hAnsi="Times New Roman" w:hint="eastAsia"/>
          <w:sz w:val="20"/>
          <w:szCs w:val="20"/>
        </w:rPr>
        <w:t>9,</w:t>
      </w:r>
      <w:r>
        <w:rPr>
          <w:rFonts w:ascii="Times New Roman" w:hAnsi="Times New Roman"/>
          <w:sz w:val="20"/>
          <w:szCs w:val="20"/>
        </w:rPr>
        <w:t xml:space="preserve"> </w:t>
      </w:r>
      <w:r>
        <w:rPr>
          <w:rFonts w:ascii="Times New Roman" w:hAnsi="Times New Roman" w:hint="eastAsia"/>
          <w:sz w:val="20"/>
          <w:szCs w:val="20"/>
        </w:rPr>
        <w:t>11,</w:t>
      </w:r>
      <w:r>
        <w:rPr>
          <w:rFonts w:ascii="Times New Roman" w:hAnsi="Times New Roman"/>
          <w:sz w:val="20"/>
          <w:szCs w:val="20"/>
        </w:rPr>
        <w:t xml:space="preserve"> </w:t>
      </w:r>
      <w:r>
        <w:rPr>
          <w:rFonts w:ascii="Times New Roman" w:hAnsi="Times New Roman" w:hint="eastAsia"/>
          <w:sz w:val="20"/>
          <w:szCs w:val="20"/>
        </w:rPr>
        <w:t>13,</w:t>
      </w:r>
      <w:r>
        <w:rPr>
          <w:rFonts w:ascii="Times New Roman" w:hAnsi="Times New Roman"/>
          <w:sz w:val="20"/>
          <w:szCs w:val="20"/>
        </w:rPr>
        <w:t xml:space="preserve"> </w:t>
      </w:r>
      <w:r>
        <w:rPr>
          <w:rFonts w:ascii="Times New Roman" w:hAnsi="Times New Roman" w:hint="eastAsia"/>
          <w:sz w:val="20"/>
          <w:szCs w:val="20"/>
        </w:rPr>
        <w:t xml:space="preserve">15}. Although the number of supported HARQ-ACK delay value is more than implementation option 1, there are also some bundling patterns cannot be supported, e.g. the bundling pattern which is shown in Figure 3. </w:t>
      </w:r>
      <w:r>
        <w:rPr>
          <w:rFonts w:ascii="Times New Roman" w:hAnsi="Times New Roman"/>
          <w:sz w:val="20"/>
          <w:szCs w:val="20"/>
        </w:rPr>
        <w:t xml:space="preserve"> </w:t>
      </w:r>
    </w:p>
    <w:p w:rsidR="00BD7F9A" w:rsidRDefault="00A7111A" w:rsidP="00B556DE">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Based on above analysis, it is concluded that both options limit the value of supported HARQ-ACK delay. Considering the bundling pattern is implicitly determined by HARQ-ACK delay, limiting the value of supported HARQ-ACK delay means the number of supported bundling pattern is limited. Therefore eNB cannot configure the optimal bundling pattern which leads to the increase of PDSCH retransmission probability and the decrease of data rate. Considering the data rate is influenced by the number of supported bundling pattern, the number of supported bundling pattern of 14 HARQ processes should be at least same as legacy UE. </w:t>
      </w:r>
    </w:p>
    <w:p w:rsidR="00BD7F9A" w:rsidRDefault="00A7111A" w:rsidP="0043798B">
      <w:pPr>
        <w:spacing w:beforeLines="50" w:before="120" w:after="240"/>
        <w:jc w:val="both"/>
        <w:rPr>
          <w:rFonts w:ascii="Times New Roman" w:hAnsi="Times New Roman"/>
          <w:b/>
          <w:bCs/>
          <w:i/>
          <w:iCs/>
          <w:sz w:val="20"/>
          <w:szCs w:val="20"/>
        </w:rPr>
      </w:pPr>
      <w:r>
        <w:rPr>
          <w:rFonts w:ascii="Times New Roman" w:hAnsi="Times New Roman" w:hint="eastAsia"/>
          <w:b/>
          <w:bCs/>
          <w:i/>
          <w:iCs/>
          <w:sz w:val="20"/>
          <w:szCs w:val="20"/>
        </w:rPr>
        <w:t>Observation</w:t>
      </w:r>
      <w:r w:rsidR="0043798B">
        <w:rPr>
          <w:rFonts w:ascii="Times New Roman" w:hAnsi="Times New Roman"/>
          <w:b/>
          <w:bCs/>
          <w:i/>
          <w:iCs/>
          <w:sz w:val="20"/>
          <w:szCs w:val="20"/>
        </w:rPr>
        <w:t xml:space="preserve"> </w:t>
      </w:r>
      <w:r>
        <w:rPr>
          <w:rFonts w:ascii="Times New Roman" w:hAnsi="Times New Roman" w:hint="eastAsia"/>
          <w:b/>
          <w:bCs/>
          <w:i/>
          <w:iCs/>
          <w:sz w:val="20"/>
          <w:szCs w:val="20"/>
        </w:rPr>
        <w:t>1: The number of supported bundling pattern of 14 HARQ processes should be at least same as legacy UE.</w:t>
      </w:r>
    </w:p>
    <w:p w:rsidR="00BD7F9A" w:rsidRDefault="00A7111A">
      <w:pPr>
        <w:jc w:val="both"/>
        <w:rPr>
          <w:rFonts w:ascii="Times New Roman" w:hAnsi="Times New Roman"/>
          <w:sz w:val="20"/>
          <w:szCs w:val="20"/>
        </w:rPr>
      </w:pPr>
      <w:r>
        <w:rPr>
          <w:rFonts w:ascii="Times New Roman" w:hAnsi="Times New Roman" w:hint="eastAsia"/>
          <w:sz w:val="20"/>
          <w:szCs w:val="20"/>
        </w:rPr>
        <w:t xml:space="preserve">The purpose of introducing 14 HARQ processes is to increase the peak data rate, therefore </w:t>
      </w:r>
      <w:r>
        <w:rPr>
          <w:rFonts w:ascii="Times New Roman" w:hAnsi="Times New Roman"/>
          <w:sz w:val="20"/>
          <w:szCs w:val="20"/>
        </w:rPr>
        <w:t>the following</w:t>
      </w:r>
      <w:r>
        <w:rPr>
          <w:rFonts w:ascii="Times New Roman" w:hAnsi="Times New Roman" w:hint="eastAsia"/>
          <w:sz w:val="20"/>
          <w:szCs w:val="20"/>
        </w:rPr>
        <w:t xml:space="preserve"> scheme</w:t>
      </w:r>
      <w:r>
        <w:rPr>
          <w:rFonts w:ascii="Times New Roman" w:hAnsi="Times New Roman"/>
          <w:sz w:val="20"/>
          <w:szCs w:val="20"/>
        </w:rPr>
        <w:t xml:space="preserve"> is proposed:</w:t>
      </w:r>
    </w:p>
    <w:p w:rsidR="00BD7F9A" w:rsidRDefault="00A7111A">
      <w:pPr>
        <w:numPr>
          <w:ilvl w:val="0"/>
          <w:numId w:val="3"/>
        </w:numPr>
        <w:rPr>
          <w:rFonts w:ascii="Times New Roman" w:hAnsi="Times New Roman"/>
          <w:sz w:val="20"/>
          <w:szCs w:val="20"/>
        </w:rPr>
      </w:pPr>
      <w:r>
        <w:rPr>
          <w:rFonts w:ascii="Times New Roman" w:hAnsi="Times New Roman" w:hint="eastAsia"/>
          <w:sz w:val="20"/>
          <w:szCs w:val="20"/>
        </w:rPr>
        <w:t>One additional bit in DCI</w:t>
      </w:r>
    </w:p>
    <w:p w:rsidR="00BD7F9A" w:rsidRDefault="00A7111A">
      <w:pPr>
        <w:numPr>
          <w:ilvl w:val="0"/>
          <w:numId w:val="3"/>
        </w:numPr>
        <w:rPr>
          <w:rFonts w:ascii="Times New Roman" w:hAnsi="Times New Roman"/>
          <w:sz w:val="20"/>
          <w:szCs w:val="20"/>
        </w:rPr>
      </w:pPr>
      <w:r>
        <w:rPr>
          <w:rFonts w:ascii="Times New Roman" w:hAnsi="Times New Roman" w:hint="eastAsia"/>
          <w:sz w:val="20"/>
          <w:szCs w:val="20"/>
        </w:rPr>
        <w:t xml:space="preserve">The additional bit and HARQ-ACK delay field are jointly coded to indicate the PDSCH scheduling delay and HARQ-ACK delay. </w:t>
      </w:r>
    </w:p>
    <w:p w:rsidR="00BD7F9A" w:rsidRDefault="00A7111A">
      <w:pPr>
        <w:rPr>
          <w:rFonts w:ascii="Times New Roman" w:hAnsi="Times New Roman"/>
          <w:sz w:val="20"/>
          <w:szCs w:val="20"/>
        </w:rPr>
      </w:pPr>
      <w:r>
        <w:rPr>
          <w:rFonts w:ascii="Times New Roman" w:hAnsi="Times New Roman" w:hint="eastAsia"/>
          <w:sz w:val="20"/>
          <w:szCs w:val="20"/>
        </w:rPr>
        <w:t xml:space="preserve">The details are shown in Table </w:t>
      </w:r>
      <w:r>
        <w:rPr>
          <w:rFonts w:ascii="Times New Roman" w:hAnsi="Times New Roman"/>
          <w:sz w:val="20"/>
          <w:szCs w:val="20"/>
        </w:rPr>
        <w:t>2</w:t>
      </w:r>
      <w:r w:rsidR="00B556DE">
        <w:rPr>
          <w:rFonts w:ascii="Times New Roman" w:hAnsi="Times New Roman" w:hint="eastAsia"/>
          <w:sz w:val="20"/>
          <w:szCs w:val="20"/>
        </w:rPr>
        <w:t>.</w:t>
      </w:r>
    </w:p>
    <w:p w:rsidR="00BD7F9A" w:rsidRDefault="00A7111A">
      <w:pPr>
        <w:pStyle w:val="a4"/>
        <w:jc w:val="center"/>
        <w:rPr>
          <w:b w:val="0"/>
          <w:bCs w:val="0"/>
          <w:lang w:val="en-US"/>
        </w:rPr>
      </w:pPr>
      <w:r>
        <w:rPr>
          <w:rFonts w:hint="eastAsia"/>
          <w:b w:val="0"/>
          <w:bCs w:val="0"/>
          <w:lang w:val="en-US" w:eastAsia="zh-CN"/>
        </w:rPr>
        <w:lastRenderedPageBreak/>
        <w:t xml:space="preserve">Table </w:t>
      </w:r>
      <w:r>
        <w:rPr>
          <w:b w:val="0"/>
          <w:bCs w:val="0"/>
          <w:lang w:val="en-US" w:eastAsia="zh-CN"/>
        </w:rPr>
        <w:t>2</w:t>
      </w:r>
      <w:r>
        <w:rPr>
          <w:rFonts w:hint="eastAsia"/>
          <w:b w:val="0"/>
          <w:bCs w:val="0"/>
          <w:lang w:val="en-US" w:eastAsia="zh-CN"/>
        </w:rPr>
        <w:t xml:space="preserve"> The proposed implementation option</w:t>
      </w:r>
    </w:p>
    <w:tbl>
      <w:tblPr>
        <w:tblStyle w:val="af1"/>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59"/>
        <w:gridCol w:w="2059"/>
        <w:gridCol w:w="3022"/>
      </w:tblGrid>
      <w:tr w:rsidR="00BD7F9A">
        <w:tc>
          <w:tcPr>
            <w:tcW w:w="2059" w:type="dxa"/>
          </w:tcPr>
          <w:p w:rsidR="00BD7F9A" w:rsidRDefault="00A7111A">
            <w:pPr>
              <w:rPr>
                <w:rFonts w:ascii="Times New Roman" w:hAnsi="Times New Roman"/>
                <w:sz w:val="20"/>
                <w:szCs w:val="20"/>
              </w:rPr>
            </w:pPr>
            <w:r>
              <w:rPr>
                <w:rFonts w:ascii="Times New Roman" w:hAnsi="Times New Roman"/>
                <w:sz w:val="20"/>
                <w:szCs w:val="20"/>
              </w:rPr>
              <w:t>Additional bit in DCI</w:t>
            </w:r>
          </w:p>
        </w:tc>
        <w:tc>
          <w:tcPr>
            <w:tcW w:w="2059" w:type="dxa"/>
          </w:tcPr>
          <w:p w:rsidR="00BD7F9A" w:rsidRDefault="00A7111A">
            <w:pPr>
              <w:rPr>
                <w:rFonts w:ascii="Times New Roman" w:hAnsi="Times New Roman"/>
                <w:sz w:val="20"/>
                <w:szCs w:val="20"/>
              </w:rPr>
            </w:pPr>
            <w:r>
              <w:rPr>
                <w:rFonts w:ascii="Times New Roman" w:hAnsi="Times New Roman"/>
                <w:sz w:val="20"/>
                <w:szCs w:val="20"/>
              </w:rPr>
              <w:t>'HARQ-ACK delay' field in DCI</w:t>
            </w:r>
          </w:p>
        </w:tc>
        <w:tc>
          <w:tcPr>
            <w:tcW w:w="2059" w:type="dxa"/>
          </w:tcPr>
          <w:p w:rsidR="00BD7F9A" w:rsidRDefault="00A7111A">
            <w:pPr>
              <w:rPr>
                <w:rFonts w:ascii="Times New Roman" w:hAnsi="Times New Roman"/>
                <w:sz w:val="20"/>
                <w:szCs w:val="20"/>
              </w:rPr>
            </w:pPr>
            <w:r>
              <w:rPr>
                <w:rFonts w:ascii="Times New Roman" w:hAnsi="Times New Roman"/>
                <w:sz w:val="20"/>
                <w:szCs w:val="20"/>
              </w:rPr>
              <w:t>Scheduling delay for PDSCH</w:t>
            </w:r>
          </w:p>
        </w:tc>
        <w:tc>
          <w:tcPr>
            <w:tcW w:w="3022" w:type="dxa"/>
          </w:tcPr>
          <w:p w:rsidR="00BD7F9A" w:rsidRDefault="00A7111A" w:rsidP="00B556DE">
            <w:pPr>
              <w:rPr>
                <w:rFonts w:ascii="Times New Roman" w:hAnsi="Times New Roman"/>
                <w:sz w:val="20"/>
                <w:szCs w:val="20"/>
              </w:rPr>
            </w:pPr>
            <w:r>
              <w:rPr>
                <w:rFonts w:ascii="Times New Roman" w:hAnsi="Times New Roman"/>
                <w:sz w:val="20"/>
                <w:szCs w:val="20"/>
              </w:rPr>
              <w:t xml:space="preserve">HARQ-ACK delay value when </w:t>
            </w:r>
            <w:r>
              <w:rPr>
                <w:rFonts w:ascii="Times New Roman" w:hAnsi="Times New Roman"/>
                <w:i/>
                <w:iCs/>
                <w:sz w:val="20"/>
                <w:szCs w:val="20"/>
              </w:rPr>
              <w:t xml:space="preserve">ce-pdsch-fourteenProcesses </w:t>
            </w:r>
            <w:r w:rsidRPr="00B556DE">
              <w:rPr>
                <w:rFonts w:ascii="Times New Roman" w:hAnsi="Times New Roman"/>
                <w:iCs/>
                <w:sz w:val="20"/>
                <w:szCs w:val="20"/>
              </w:rPr>
              <w:t xml:space="preserve">is </w:t>
            </w:r>
            <w:r w:rsidRPr="00B556DE">
              <w:rPr>
                <w:rFonts w:ascii="Times New Roman" w:hAnsi="Times New Roman"/>
                <w:sz w:val="20"/>
                <w:szCs w:val="20"/>
              </w:rPr>
              <w:t>set</w:t>
            </w:r>
          </w:p>
        </w:tc>
      </w:tr>
      <w:tr w:rsidR="00BD7F9A">
        <w:tc>
          <w:tcPr>
            <w:tcW w:w="2059" w:type="dxa"/>
            <w:vMerge w:val="restart"/>
          </w:tcPr>
          <w:p w:rsidR="00BD7F9A" w:rsidRDefault="00A7111A">
            <w:pPr>
              <w:jc w:val="center"/>
              <w:rPr>
                <w:rFonts w:ascii="Times New Roman" w:hAnsi="Times New Roman"/>
                <w:sz w:val="20"/>
                <w:szCs w:val="20"/>
              </w:rPr>
            </w:pPr>
            <w:r>
              <w:rPr>
                <w:rFonts w:ascii="Times New Roman" w:hAnsi="Times New Roman"/>
                <w:sz w:val="20"/>
                <w:szCs w:val="20"/>
              </w:rPr>
              <w:t>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000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4</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001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5</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010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6</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011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7</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100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8</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101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9</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110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10</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111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11</w:t>
            </w:r>
          </w:p>
        </w:tc>
      </w:tr>
      <w:tr w:rsidR="00BD7F9A">
        <w:tc>
          <w:tcPr>
            <w:tcW w:w="2059" w:type="dxa"/>
            <w:vMerge w:val="restart"/>
          </w:tcPr>
          <w:p w:rsidR="00BD7F9A" w:rsidRDefault="00A7111A">
            <w:pPr>
              <w:jc w:val="center"/>
              <w:rPr>
                <w:rFonts w:ascii="Times New Roman" w:hAnsi="Times New Roman"/>
                <w:sz w:val="20"/>
                <w:szCs w:val="20"/>
              </w:rPr>
            </w:pPr>
            <w:r>
              <w:rPr>
                <w:rFonts w:ascii="Times New Roman" w:hAnsi="Times New Roman"/>
                <w:sz w:val="20"/>
                <w:szCs w:val="20"/>
              </w:rPr>
              <w:t>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000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13</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001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15</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010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2</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17</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011</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7</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12</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100</w:t>
            </w: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7</w:t>
            </w:r>
          </w:p>
        </w:tc>
        <w:tc>
          <w:tcPr>
            <w:tcW w:w="3022" w:type="dxa"/>
          </w:tcPr>
          <w:p w:rsidR="00BD7F9A" w:rsidRDefault="00A7111A">
            <w:pPr>
              <w:jc w:val="center"/>
              <w:rPr>
                <w:rFonts w:ascii="Times New Roman" w:hAnsi="Times New Roman"/>
                <w:sz w:val="20"/>
                <w:szCs w:val="20"/>
              </w:rPr>
            </w:pPr>
            <w:r>
              <w:rPr>
                <w:rFonts w:ascii="Times New Roman" w:hAnsi="Times New Roman"/>
                <w:sz w:val="20"/>
                <w:szCs w:val="20"/>
              </w:rPr>
              <w:t>13</w:t>
            </w:r>
          </w:p>
        </w:tc>
      </w:tr>
      <w:tr w:rsidR="00BD7F9A">
        <w:tc>
          <w:tcPr>
            <w:tcW w:w="2059" w:type="dxa"/>
            <w:vMerge/>
          </w:tcPr>
          <w:p w:rsidR="00BD7F9A" w:rsidRDefault="00BD7F9A">
            <w:pPr>
              <w:jc w:val="center"/>
              <w:rPr>
                <w:rFonts w:ascii="Times New Roman" w:hAnsi="Times New Roman"/>
                <w:sz w:val="20"/>
                <w:szCs w:val="20"/>
              </w:rPr>
            </w:pPr>
          </w:p>
        </w:tc>
        <w:tc>
          <w:tcPr>
            <w:tcW w:w="2059" w:type="dxa"/>
          </w:tcPr>
          <w:p w:rsidR="00BD7F9A" w:rsidRDefault="00A7111A">
            <w:pPr>
              <w:jc w:val="center"/>
              <w:rPr>
                <w:rFonts w:ascii="Times New Roman" w:hAnsi="Times New Roman"/>
                <w:sz w:val="20"/>
                <w:szCs w:val="20"/>
              </w:rPr>
            </w:pPr>
            <w:r>
              <w:rPr>
                <w:rFonts w:ascii="Times New Roman" w:hAnsi="Times New Roman"/>
                <w:sz w:val="20"/>
                <w:szCs w:val="20"/>
              </w:rPr>
              <w:t>101~111</w:t>
            </w:r>
          </w:p>
        </w:tc>
        <w:tc>
          <w:tcPr>
            <w:tcW w:w="5081" w:type="dxa"/>
            <w:gridSpan w:val="2"/>
          </w:tcPr>
          <w:p w:rsidR="00BD7F9A" w:rsidRDefault="00A7111A">
            <w:pPr>
              <w:jc w:val="center"/>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eserved</w:t>
            </w:r>
          </w:p>
        </w:tc>
      </w:tr>
    </w:tbl>
    <w:p w:rsidR="00BD7F9A" w:rsidRDefault="00A7111A" w:rsidP="00B556DE">
      <w:pPr>
        <w:spacing w:beforeLines="50" w:before="120" w:after="120"/>
        <w:rPr>
          <w:rFonts w:ascii="Times New Roman" w:hAnsi="Times New Roman"/>
          <w:sz w:val="20"/>
          <w:szCs w:val="20"/>
        </w:rPr>
      </w:pPr>
      <w:r>
        <w:rPr>
          <w:rFonts w:ascii="Times New Roman" w:hAnsi="Times New Roman" w:hint="eastAsia"/>
          <w:sz w:val="20"/>
          <w:szCs w:val="20"/>
        </w:rPr>
        <w:t xml:space="preserve">Based on the proposed implementation option, all possible HARQ-ACK delay values </w:t>
      </w:r>
      <w:r>
        <w:rPr>
          <w:rFonts w:ascii="Times New Roman" w:hAnsi="Times New Roman"/>
          <w:sz w:val="20"/>
          <w:szCs w:val="20"/>
        </w:rPr>
        <w:t>can be</w:t>
      </w:r>
      <w:r>
        <w:rPr>
          <w:rFonts w:ascii="Times New Roman" w:hAnsi="Times New Roman" w:hint="eastAsia"/>
          <w:sz w:val="20"/>
          <w:szCs w:val="20"/>
        </w:rPr>
        <w:t xml:space="preserve"> supported.  </w:t>
      </w:r>
    </w:p>
    <w:p w:rsidR="00BD7F9A" w:rsidRDefault="00A7111A">
      <w:pPr>
        <w:spacing w:beforeLines="50" w:before="120" w:after="120"/>
        <w:rPr>
          <w:rFonts w:ascii="Times New Roman" w:hAnsi="Times New Roman"/>
          <w:b/>
          <w:bCs/>
          <w:i/>
          <w:iCs/>
          <w:sz w:val="20"/>
          <w:szCs w:val="20"/>
        </w:rPr>
      </w:pPr>
      <w:r>
        <w:rPr>
          <w:rFonts w:ascii="Times New Roman" w:hAnsi="Times New Roman"/>
          <w:b/>
          <w:bCs/>
          <w:i/>
          <w:iCs/>
          <w:sz w:val="20"/>
          <w:szCs w:val="20"/>
        </w:rPr>
        <w:t>Proposal 1: Introduce an additional bit in DCI when 14 HARQ processes are configured.</w:t>
      </w:r>
    </w:p>
    <w:p w:rsidR="00BD7F9A" w:rsidRDefault="00A7111A">
      <w:pPr>
        <w:pStyle w:val="afa"/>
        <w:numPr>
          <w:ilvl w:val="0"/>
          <w:numId w:val="4"/>
        </w:numPr>
        <w:spacing w:beforeLines="50" w:before="120" w:after="240"/>
        <w:ind w:firstLineChars="0" w:hanging="278"/>
        <w:rPr>
          <w:rFonts w:ascii="Times New Roman" w:hAnsi="Times New Roman"/>
          <w:b/>
          <w:bCs/>
          <w:i/>
          <w:iCs/>
          <w:sz w:val="20"/>
          <w:szCs w:val="20"/>
        </w:rPr>
      </w:pPr>
      <w:r>
        <w:rPr>
          <w:rFonts w:ascii="Times New Roman" w:hAnsi="Times New Roman"/>
          <w:b/>
          <w:bCs/>
          <w:i/>
          <w:iCs/>
          <w:sz w:val="20"/>
          <w:szCs w:val="20"/>
        </w:rPr>
        <w:t>The additional bit and HARQ-ACK delay field are jointly coded to indicate the PDSCH scheduling delay and HARQ-ACK delay</w:t>
      </w:r>
      <w:r>
        <w:rPr>
          <w:rFonts w:ascii="Times New Roman" w:hAnsi="Times New Roman" w:hint="eastAsia"/>
          <w:b/>
          <w:bCs/>
          <w:i/>
          <w:iCs/>
          <w:sz w:val="20"/>
          <w:szCs w:val="20"/>
        </w:rPr>
        <w:t>.</w:t>
      </w:r>
    </w:p>
    <w:p w:rsidR="00BD7F9A" w:rsidRDefault="00A7111A">
      <w:pPr>
        <w:pStyle w:val="1"/>
        <w:spacing w:beforeLines="50" w:before="120" w:afterLines="50" w:after="120" w:line="360" w:lineRule="auto"/>
        <w:ind w:left="431" w:hanging="431"/>
        <w:rPr>
          <w:lang w:val="en-US"/>
        </w:rPr>
      </w:pPr>
      <w:r>
        <w:rPr>
          <w:lang w:val="en-US"/>
        </w:rPr>
        <w:t>Conclusions</w:t>
      </w:r>
    </w:p>
    <w:p w:rsidR="00BD7F9A" w:rsidRPr="0043798B" w:rsidRDefault="00A7111A" w:rsidP="00B556DE">
      <w:pPr>
        <w:pStyle w:val="a7"/>
        <w:spacing w:beforeLines="50" w:before="120" w:afterLines="50" w:after="120" w:line="276" w:lineRule="auto"/>
        <w:rPr>
          <w:color w:val="000000" w:themeColor="text1"/>
          <w:sz w:val="20"/>
        </w:rPr>
      </w:pPr>
      <w:r>
        <w:rPr>
          <w:rFonts w:hint="eastAsia"/>
          <w:color w:val="auto"/>
          <w:sz w:val="20"/>
        </w:rPr>
        <w:t xml:space="preserve">In this contribution, we have discussed the </w:t>
      </w:r>
      <w:r>
        <w:rPr>
          <w:rFonts w:hint="eastAsia"/>
          <w:color w:val="000000" w:themeColor="text1"/>
          <w:sz w:val="20"/>
        </w:rPr>
        <w:t xml:space="preserve">additional PDSCH scheduling delay </w:t>
      </w:r>
      <w:r>
        <w:rPr>
          <w:color w:val="000000" w:themeColor="text1"/>
          <w:sz w:val="20"/>
        </w:rPr>
        <w:t xml:space="preserve">and related HARQ-ACK delay to support DL </w:t>
      </w:r>
      <w:r w:rsidRPr="0043798B">
        <w:rPr>
          <w:rFonts w:eastAsia="等线"/>
          <w:color w:val="000000" w:themeColor="text1"/>
          <w:sz w:val="20"/>
        </w:rPr>
        <w:t>14-HARQ processes for H-FDD</w:t>
      </w:r>
      <w:r w:rsidRPr="0043798B">
        <w:rPr>
          <w:color w:val="000000" w:themeColor="text1"/>
          <w:sz w:val="20"/>
        </w:rPr>
        <w:t xml:space="preserve"> LTE-</w:t>
      </w:r>
      <w:r w:rsidRPr="0043798B">
        <w:rPr>
          <w:rFonts w:hint="eastAsia"/>
          <w:color w:val="000000" w:themeColor="text1"/>
          <w:sz w:val="20"/>
        </w:rPr>
        <w:t xml:space="preserve">MTC. We make the following </w:t>
      </w:r>
      <w:r w:rsidR="0043798B">
        <w:rPr>
          <w:color w:val="000000" w:themeColor="text1"/>
          <w:sz w:val="20"/>
        </w:rPr>
        <w:t xml:space="preserve">observation and </w:t>
      </w:r>
      <w:r w:rsidRPr="0043798B">
        <w:rPr>
          <w:rFonts w:hint="eastAsia"/>
          <w:color w:val="000000" w:themeColor="text1"/>
          <w:sz w:val="20"/>
        </w:rPr>
        <w:t>proposal:</w:t>
      </w:r>
    </w:p>
    <w:p w:rsidR="0043798B" w:rsidRPr="0043798B" w:rsidRDefault="0043798B" w:rsidP="0043798B">
      <w:pPr>
        <w:pStyle w:val="a7"/>
        <w:spacing w:beforeLines="50" w:before="120" w:afterLines="100" w:after="240" w:line="276" w:lineRule="auto"/>
        <w:rPr>
          <w:color w:val="000000" w:themeColor="text1"/>
          <w:sz w:val="20"/>
        </w:rPr>
      </w:pPr>
      <w:r w:rsidRPr="0043798B">
        <w:rPr>
          <w:rFonts w:hint="eastAsia"/>
          <w:b/>
          <w:bCs/>
          <w:i/>
          <w:iCs/>
          <w:color w:val="000000" w:themeColor="text1"/>
          <w:sz w:val="20"/>
        </w:rPr>
        <w:t>Observation</w:t>
      </w:r>
      <w:r w:rsidRPr="0043798B">
        <w:rPr>
          <w:b/>
          <w:bCs/>
          <w:i/>
          <w:iCs/>
          <w:color w:val="000000" w:themeColor="text1"/>
          <w:sz w:val="20"/>
        </w:rPr>
        <w:t xml:space="preserve"> </w:t>
      </w:r>
      <w:r w:rsidRPr="0043798B">
        <w:rPr>
          <w:rFonts w:hint="eastAsia"/>
          <w:b/>
          <w:bCs/>
          <w:i/>
          <w:iCs/>
          <w:color w:val="000000" w:themeColor="text1"/>
          <w:sz w:val="20"/>
        </w:rPr>
        <w:t>1: The number of supported bundling pattern of 14 HARQ processes should be at least same as legacy UE.</w:t>
      </w:r>
    </w:p>
    <w:p w:rsidR="00BD7F9A" w:rsidRDefault="00A7111A">
      <w:pPr>
        <w:spacing w:beforeLines="50" w:before="120" w:after="120"/>
        <w:rPr>
          <w:rFonts w:ascii="Times New Roman" w:hAnsi="Times New Roman"/>
          <w:b/>
          <w:bCs/>
          <w:i/>
          <w:iCs/>
          <w:sz w:val="20"/>
          <w:szCs w:val="20"/>
        </w:rPr>
      </w:pPr>
      <w:r>
        <w:rPr>
          <w:rFonts w:ascii="Times New Roman" w:hAnsi="Times New Roman"/>
          <w:b/>
          <w:bCs/>
          <w:i/>
          <w:iCs/>
          <w:sz w:val="20"/>
          <w:szCs w:val="20"/>
        </w:rPr>
        <w:t>Proposal 1: Introduce an additional bit in DCI when 14 HARQ processes are configured.</w:t>
      </w:r>
    </w:p>
    <w:p w:rsidR="00BD7F9A" w:rsidRDefault="00A7111A">
      <w:pPr>
        <w:pStyle w:val="afa"/>
        <w:numPr>
          <w:ilvl w:val="0"/>
          <w:numId w:val="4"/>
        </w:numPr>
        <w:spacing w:beforeLines="50" w:before="120" w:after="240"/>
        <w:ind w:firstLineChars="0" w:hanging="278"/>
        <w:rPr>
          <w:rFonts w:ascii="Times New Roman" w:hAnsi="Times New Roman"/>
          <w:b/>
          <w:bCs/>
          <w:i/>
          <w:iCs/>
          <w:sz w:val="20"/>
          <w:szCs w:val="20"/>
        </w:rPr>
      </w:pPr>
      <w:r>
        <w:rPr>
          <w:rFonts w:ascii="Times New Roman" w:hAnsi="Times New Roman"/>
          <w:b/>
          <w:bCs/>
          <w:i/>
          <w:iCs/>
          <w:sz w:val="20"/>
          <w:szCs w:val="20"/>
        </w:rPr>
        <w:t>The additional bit and HARQ-ACK delay field are jointly coded to indicate the PDSCH scheduling delay and HARQ-ACK delay</w:t>
      </w:r>
      <w:r>
        <w:rPr>
          <w:rFonts w:ascii="Times New Roman" w:hAnsi="Times New Roman" w:hint="eastAsia"/>
          <w:b/>
          <w:bCs/>
          <w:i/>
          <w:iCs/>
          <w:sz w:val="20"/>
          <w:szCs w:val="20"/>
        </w:rPr>
        <w:t>.</w:t>
      </w:r>
    </w:p>
    <w:p w:rsidR="00BD7F9A" w:rsidRDefault="00A7111A">
      <w:pPr>
        <w:pStyle w:val="1"/>
        <w:numPr>
          <w:ilvl w:val="0"/>
          <w:numId w:val="0"/>
        </w:numPr>
        <w:spacing w:beforeLines="50" w:before="120" w:afterLines="50" w:after="120" w:line="360" w:lineRule="auto"/>
        <w:ind w:left="431" w:hanging="431"/>
        <w:rPr>
          <w:lang w:val="en-US"/>
        </w:rPr>
      </w:pPr>
      <w:bookmarkStart w:id="10" w:name="OLE_LINK10"/>
      <w:bookmarkStart w:id="11" w:name="OLE_LINK11"/>
      <w:r>
        <w:rPr>
          <w:lang w:val="en-US"/>
        </w:rPr>
        <w:t>References</w:t>
      </w:r>
    </w:p>
    <w:bookmarkEnd w:id="10"/>
    <w:bookmarkEnd w:id="11"/>
    <w:p w:rsidR="00BD7F9A" w:rsidRDefault="00A7111A">
      <w:pPr>
        <w:numPr>
          <w:ilvl w:val="0"/>
          <w:numId w:val="5"/>
        </w:numPr>
        <w:spacing w:after="0" w:line="264" w:lineRule="auto"/>
        <w:rPr>
          <w:rFonts w:ascii="Times New Roman" w:hAnsi="Times New Roman"/>
          <w:sz w:val="20"/>
        </w:rPr>
      </w:pPr>
      <w:r>
        <w:rPr>
          <w:rFonts w:ascii="Times New Roman" w:hAnsi="Times New Roman" w:hint="eastAsia"/>
          <w:sz w:val="20"/>
        </w:rPr>
        <w:lastRenderedPageBreak/>
        <w:t>3GPP, RP-</w:t>
      </w:r>
      <w:r>
        <w:rPr>
          <w:rFonts w:ascii="Times New Roman" w:hAnsi="Times New Roman"/>
          <w:sz w:val="20"/>
        </w:rPr>
        <w:t>201306</w:t>
      </w:r>
      <w:r>
        <w:rPr>
          <w:rFonts w:ascii="Times New Roman" w:hAnsi="Times New Roman" w:hint="eastAsia"/>
          <w:sz w:val="20"/>
        </w:rPr>
        <w:t>, ,</w:t>
      </w:r>
      <w:r>
        <w:rPr>
          <w:rFonts w:ascii="Times New Roman" w:hAnsi="Times New Roman"/>
          <w:bCs/>
          <w:color w:val="000000"/>
          <w:sz w:val="20"/>
          <w:szCs w:val="20"/>
        </w:rPr>
        <w:t xml:space="preserve"> WID revision: Additional enhancements for NB-IoT and LTE-MTC, Huawei, HiSilicon</w:t>
      </w:r>
      <w:r>
        <w:rPr>
          <w:rFonts w:ascii="Times New Roman" w:hAnsi="Times New Roman" w:hint="eastAsia"/>
          <w:sz w:val="20"/>
        </w:rPr>
        <w:t>, RAN #8</w:t>
      </w:r>
      <w:r>
        <w:rPr>
          <w:rFonts w:ascii="Times New Roman" w:hAnsi="Times New Roman"/>
          <w:sz w:val="20"/>
        </w:rPr>
        <w:t>8e</w:t>
      </w:r>
    </w:p>
    <w:p w:rsidR="00BD7F9A" w:rsidRDefault="00A7111A">
      <w:pPr>
        <w:numPr>
          <w:ilvl w:val="0"/>
          <w:numId w:val="5"/>
        </w:numPr>
        <w:spacing w:after="0" w:line="264" w:lineRule="auto"/>
        <w:rPr>
          <w:rFonts w:ascii="Times New Roman" w:hAnsi="Times New Roman"/>
          <w:sz w:val="20"/>
        </w:rPr>
      </w:pPr>
      <w:r>
        <w:rPr>
          <w:rFonts w:ascii="Times New Roman" w:hAnsi="Times New Roman" w:hint="eastAsia"/>
          <w:sz w:val="20"/>
        </w:rPr>
        <w:t>3GPP, TS36.213</w:t>
      </w:r>
    </w:p>
    <w:p w:rsidR="00BD7F9A" w:rsidRPr="009A7573" w:rsidRDefault="00A7111A" w:rsidP="009A7573">
      <w:pPr>
        <w:numPr>
          <w:ilvl w:val="0"/>
          <w:numId w:val="5"/>
        </w:numPr>
        <w:spacing w:after="0" w:line="264" w:lineRule="auto"/>
        <w:rPr>
          <w:rFonts w:ascii="Times New Roman" w:hAnsi="Times New Roman"/>
          <w:sz w:val="20"/>
        </w:rPr>
      </w:pPr>
      <w:r>
        <w:rPr>
          <w:rFonts w:ascii="Times New Roman" w:hAnsi="Times New Roman" w:hint="eastAsia"/>
          <w:sz w:val="20"/>
        </w:rPr>
        <w:t>3GPP, R1-1912694, Increased peak data rate for HD-FDD MTC UEs, Qualcomm Incorporated, Orange, Sierra Wireless, Verizon, Ericsson, Sequans, Nokia, Nokia Shanghai Bell, RAN1#99</w:t>
      </w:r>
    </w:p>
    <w:sectPr w:rsidR="00BD7F9A" w:rsidRPr="009A757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A91" w:rsidRDefault="00425A91" w:rsidP="0043798B">
      <w:pPr>
        <w:spacing w:after="0" w:line="240" w:lineRule="auto"/>
      </w:pPr>
      <w:r>
        <w:separator/>
      </w:r>
    </w:p>
  </w:endnote>
  <w:endnote w:type="continuationSeparator" w:id="0">
    <w:p w:rsidR="00425A91" w:rsidRDefault="00425A91" w:rsidP="00437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A91" w:rsidRDefault="00425A91" w:rsidP="0043798B">
      <w:pPr>
        <w:spacing w:after="0" w:line="240" w:lineRule="auto"/>
      </w:pPr>
      <w:r>
        <w:separator/>
      </w:r>
    </w:p>
  </w:footnote>
  <w:footnote w:type="continuationSeparator" w:id="0">
    <w:p w:rsidR="00425A91" w:rsidRDefault="00425A91" w:rsidP="004379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1664657"/>
    <w:multiLevelType w:val="singleLevel"/>
    <w:tmpl w:val="31664657"/>
    <w:lvl w:ilvl="0">
      <w:start w:val="1"/>
      <w:numFmt w:val="bullet"/>
      <w:lvlText w:val=""/>
      <w:lvlJc w:val="left"/>
      <w:pPr>
        <w:ind w:left="420" w:hanging="42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F9833F7"/>
    <w:multiLevelType w:val="multilevel"/>
    <w:tmpl w:val="7F9833F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7A5"/>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111"/>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6B"/>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4A13"/>
    <w:rsid w:val="001D5020"/>
    <w:rsid w:val="001D5024"/>
    <w:rsid w:val="001D502E"/>
    <w:rsid w:val="001D55C7"/>
    <w:rsid w:val="001D5632"/>
    <w:rsid w:val="001D586F"/>
    <w:rsid w:val="001D5973"/>
    <w:rsid w:val="001D5A44"/>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12"/>
    <w:rsid w:val="00321492"/>
    <w:rsid w:val="00321525"/>
    <w:rsid w:val="00321548"/>
    <w:rsid w:val="00321B1F"/>
    <w:rsid w:val="00321EAF"/>
    <w:rsid w:val="00322180"/>
    <w:rsid w:val="003221B5"/>
    <w:rsid w:val="00322261"/>
    <w:rsid w:val="0032236F"/>
    <w:rsid w:val="00322531"/>
    <w:rsid w:val="003228D4"/>
    <w:rsid w:val="003232E0"/>
    <w:rsid w:val="003237A4"/>
    <w:rsid w:val="0032388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5A5"/>
    <w:rsid w:val="0042595D"/>
    <w:rsid w:val="00425A72"/>
    <w:rsid w:val="00425A91"/>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98B"/>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79E"/>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2BC"/>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A3"/>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75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1D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080"/>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A9D"/>
    <w:rsid w:val="00870DF8"/>
    <w:rsid w:val="008710B8"/>
    <w:rsid w:val="00871201"/>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6DF"/>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081"/>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DB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2CA"/>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573"/>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935"/>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9F7F19"/>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1A"/>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1E5"/>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212"/>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6DE"/>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D7F9A"/>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5D3"/>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7A4"/>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449"/>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DA8"/>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C58"/>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4A6"/>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5D3E"/>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656"/>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1"/>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204A72"/>
    <w:rsid w:val="023B63C3"/>
    <w:rsid w:val="026E563A"/>
    <w:rsid w:val="0310478B"/>
    <w:rsid w:val="032016B7"/>
    <w:rsid w:val="032E088C"/>
    <w:rsid w:val="033B30AE"/>
    <w:rsid w:val="034728E2"/>
    <w:rsid w:val="03F87400"/>
    <w:rsid w:val="03FF53D8"/>
    <w:rsid w:val="04002878"/>
    <w:rsid w:val="042B3B27"/>
    <w:rsid w:val="04453391"/>
    <w:rsid w:val="04873CA1"/>
    <w:rsid w:val="052E3B81"/>
    <w:rsid w:val="053E675B"/>
    <w:rsid w:val="054A7083"/>
    <w:rsid w:val="056C274E"/>
    <w:rsid w:val="05A439CA"/>
    <w:rsid w:val="05CE0B59"/>
    <w:rsid w:val="05F467D5"/>
    <w:rsid w:val="06153556"/>
    <w:rsid w:val="062F2746"/>
    <w:rsid w:val="063167FC"/>
    <w:rsid w:val="06330359"/>
    <w:rsid w:val="06647CA3"/>
    <w:rsid w:val="06843231"/>
    <w:rsid w:val="06A47C47"/>
    <w:rsid w:val="06AA59AC"/>
    <w:rsid w:val="06AF6667"/>
    <w:rsid w:val="06BC6525"/>
    <w:rsid w:val="06D92C9B"/>
    <w:rsid w:val="06DD0134"/>
    <w:rsid w:val="06EA3847"/>
    <w:rsid w:val="06F9228B"/>
    <w:rsid w:val="072569DE"/>
    <w:rsid w:val="0728394D"/>
    <w:rsid w:val="07336188"/>
    <w:rsid w:val="073E4FD9"/>
    <w:rsid w:val="07686409"/>
    <w:rsid w:val="079A1B8C"/>
    <w:rsid w:val="08161095"/>
    <w:rsid w:val="085347E8"/>
    <w:rsid w:val="08990731"/>
    <w:rsid w:val="08A14BCF"/>
    <w:rsid w:val="08C85848"/>
    <w:rsid w:val="08CB78C8"/>
    <w:rsid w:val="0906064F"/>
    <w:rsid w:val="09096390"/>
    <w:rsid w:val="099172A3"/>
    <w:rsid w:val="09A30D74"/>
    <w:rsid w:val="09B67622"/>
    <w:rsid w:val="09E26D1A"/>
    <w:rsid w:val="0A3C68FF"/>
    <w:rsid w:val="0A6D5379"/>
    <w:rsid w:val="0AB03AD5"/>
    <w:rsid w:val="0AE062D0"/>
    <w:rsid w:val="0AE11E39"/>
    <w:rsid w:val="0B101DBF"/>
    <w:rsid w:val="0B545948"/>
    <w:rsid w:val="0B564E9B"/>
    <w:rsid w:val="0B6F5769"/>
    <w:rsid w:val="0BF73AFE"/>
    <w:rsid w:val="0C3067A1"/>
    <w:rsid w:val="0C6E2679"/>
    <w:rsid w:val="0C9D0B38"/>
    <w:rsid w:val="0D266067"/>
    <w:rsid w:val="0D355BBB"/>
    <w:rsid w:val="0D4769C6"/>
    <w:rsid w:val="0D657BD1"/>
    <w:rsid w:val="0D660617"/>
    <w:rsid w:val="0D711102"/>
    <w:rsid w:val="0D8A5558"/>
    <w:rsid w:val="0DA40A51"/>
    <w:rsid w:val="0DBC53F4"/>
    <w:rsid w:val="0E3809C8"/>
    <w:rsid w:val="0EF377A7"/>
    <w:rsid w:val="0F2249EF"/>
    <w:rsid w:val="0F5E192C"/>
    <w:rsid w:val="0F69004C"/>
    <w:rsid w:val="0F7650B3"/>
    <w:rsid w:val="0F891395"/>
    <w:rsid w:val="0F8B4E15"/>
    <w:rsid w:val="0F9A3B81"/>
    <w:rsid w:val="0FC51652"/>
    <w:rsid w:val="0FCA7866"/>
    <w:rsid w:val="1046556A"/>
    <w:rsid w:val="1059542B"/>
    <w:rsid w:val="10A87570"/>
    <w:rsid w:val="10C413F4"/>
    <w:rsid w:val="10D748F2"/>
    <w:rsid w:val="10F36448"/>
    <w:rsid w:val="11285E51"/>
    <w:rsid w:val="115A5477"/>
    <w:rsid w:val="117F1DA0"/>
    <w:rsid w:val="11F75BDE"/>
    <w:rsid w:val="123B2B95"/>
    <w:rsid w:val="12584D88"/>
    <w:rsid w:val="126A56B1"/>
    <w:rsid w:val="12945F1E"/>
    <w:rsid w:val="12A94F14"/>
    <w:rsid w:val="131321A0"/>
    <w:rsid w:val="1341363F"/>
    <w:rsid w:val="13882AFA"/>
    <w:rsid w:val="139F0C44"/>
    <w:rsid w:val="13E04159"/>
    <w:rsid w:val="14420627"/>
    <w:rsid w:val="144D30BB"/>
    <w:rsid w:val="144F2D9B"/>
    <w:rsid w:val="147642D5"/>
    <w:rsid w:val="148202EB"/>
    <w:rsid w:val="14A6763A"/>
    <w:rsid w:val="151B639D"/>
    <w:rsid w:val="1528753C"/>
    <w:rsid w:val="157714B6"/>
    <w:rsid w:val="16197B2D"/>
    <w:rsid w:val="16606718"/>
    <w:rsid w:val="1683253C"/>
    <w:rsid w:val="16897CD4"/>
    <w:rsid w:val="16B81DEC"/>
    <w:rsid w:val="16D11143"/>
    <w:rsid w:val="176A2022"/>
    <w:rsid w:val="178972C7"/>
    <w:rsid w:val="179877EC"/>
    <w:rsid w:val="17E575D5"/>
    <w:rsid w:val="17FD3E3D"/>
    <w:rsid w:val="1835615B"/>
    <w:rsid w:val="18423A1A"/>
    <w:rsid w:val="18515F8F"/>
    <w:rsid w:val="18750BD3"/>
    <w:rsid w:val="18792B67"/>
    <w:rsid w:val="18884B36"/>
    <w:rsid w:val="188B31CD"/>
    <w:rsid w:val="188D1E99"/>
    <w:rsid w:val="18F0757F"/>
    <w:rsid w:val="191B15FA"/>
    <w:rsid w:val="192E04F2"/>
    <w:rsid w:val="19657F30"/>
    <w:rsid w:val="19AB59B1"/>
    <w:rsid w:val="19DA292B"/>
    <w:rsid w:val="19F43CD7"/>
    <w:rsid w:val="1A165E35"/>
    <w:rsid w:val="1A19199C"/>
    <w:rsid w:val="1A635A6F"/>
    <w:rsid w:val="1AA07FAF"/>
    <w:rsid w:val="1AC67DB1"/>
    <w:rsid w:val="1ACE62DA"/>
    <w:rsid w:val="1AF0527E"/>
    <w:rsid w:val="1B262669"/>
    <w:rsid w:val="1B2F475B"/>
    <w:rsid w:val="1B67330B"/>
    <w:rsid w:val="1B714019"/>
    <w:rsid w:val="1BD30682"/>
    <w:rsid w:val="1BE81A79"/>
    <w:rsid w:val="1BFB6DCB"/>
    <w:rsid w:val="1C2C6CC3"/>
    <w:rsid w:val="1C467DB1"/>
    <w:rsid w:val="1C6566F8"/>
    <w:rsid w:val="1C71645F"/>
    <w:rsid w:val="1C753457"/>
    <w:rsid w:val="1CBF698F"/>
    <w:rsid w:val="1CD03485"/>
    <w:rsid w:val="1CD36A74"/>
    <w:rsid w:val="1D040361"/>
    <w:rsid w:val="1D0E1332"/>
    <w:rsid w:val="1D2643DC"/>
    <w:rsid w:val="1D387E05"/>
    <w:rsid w:val="1D6723D0"/>
    <w:rsid w:val="1D8A7469"/>
    <w:rsid w:val="1D970AB7"/>
    <w:rsid w:val="1DF74054"/>
    <w:rsid w:val="1E074207"/>
    <w:rsid w:val="1E765BA3"/>
    <w:rsid w:val="1E854EF5"/>
    <w:rsid w:val="1E8A1752"/>
    <w:rsid w:val="1E8B77E3"/>
    <w:rsid w:val="1EA13671"/>
    <w:rsid w:val="1ECA2119"/>
    <w:rsid w:val="1EEB6B7B"/>
    <w:rsid w:val="1F134BC9"/>
    <w:rsid w:val="1F6F629D"/>
    <w:rsid w:val="1FA83581"/>
    <w:rsid w:val="1FC11B90"/>
    <w:rsid w:val="20191124"/>
    <w:rsid w:val="202E09B5"/>
    <w:rsid w:val="203A61F2"/>
    <w:rsid w:val="20423BF5"/>
    <w:rsid w:val="2065066A"/>
    <w:rsid w:val="207F7337"/>
    <w:rsid w:val="20C27180"/>
    <w:rsid w:val="21090E4E"/>
    <w:rsid w:val="21094F89"/>
    <w:rsid w:val="21181627"/>
    <w:rsid w:val="217E6F50"/>
    <w:rsid w:val="2187600B"/>
    <w:rsid w:val="218C7899"/>
    <w:rsid w:val="21B618F3"/>
    <w:rsid w:val="22225F1D"/>
    <w:rsid w:val="230B1655"/>
    <w:rsid w:val="23133400"/>
    <w:rsid w:val="231E1545"/>
    <w:rsid w:val="235C1F24"/>
    <w:rsid w:val="238724B5"/>
    <w:rsid w:val="23A22757"/>
    <w:rsid w:val="23B9276C"/>
    <w:rsid w:val="23C833CA"/>
    <w:rsid w:val="23E309E0"/>
    <w:rsid w:val="241E0169"/>
    <w:rsid w:val="243715C5"/>
    <w:rsid w:val="24394893"/>
    <w:rsid w:val="24614760"/>
    <w:rsid w:val="24661BA8"/>
    <w:rsid w:val="254C0281"/>
    <w:rsid w:val="254F53B2"/>
    <w:rsid w:val="256A6C11"/>
    <w:rsid w:val="25793126"/>
    <w:rsid w:val="25951A9B"/>
    <w:rsid w:val="25955122"/>
    <w:rsid w:val="25C2562C"/>
    <w:rsid w:val="261A7B52"/>
    <w:rsid w:val="26255B3C"/>
    <w:rsid w:val="26301F7E"/>
    <w:rsid w:val="263B3B15"/>
    <w:rsid w:val="264214D3"/>
    <w:rsid w:val="269E7021"/>
    <w:rsid w:val="26B43E10"/>
    <w:rsid w:val="26B909A0"/>
    <w:rsid w:val="26BE1A31"/>
    <w:rsid w:val="270744C1"/>
    <w:rsid w:val="27583987"/>
    <w:rsid w:val="27733199"/>
    <w:rsid w:val="27B871AB"/>
    <w:rsid w:val="281768E6"/>
    <w:rsid w:val="2841784D"/>
    <w:rsid w:val="2845430B"/>
    <w:rsid w:val="284F1EA3"/>
    <w:rsid w:val="28F645D4"/>
    <w:rsid w:val="292E3C34"/>
    <w:rsid w:val="292F169C"/>
    <w:rsid w:val="293F4348"/>
    <w:rsid w:val="29457816"/>
    <w:rsid w:val="29495357"/>
    <w:rsid w:val="29AD725A"/>
    <w:rsid w:val="29B457D1"/>
    <w:rsid w:val="29BD5647"/>
    <w:rsid w:val="29D66648"/>
    <w:rsid w:val="29E44E1A"/>
    <w:rsid w:val="29F701AD"/>
    <w:rsid w:val="2A530BC4"/>
    <w:rsid w:val="2A563CBB"/>
    <w:rsid w:val="2A5B51E3"/>
    <w:rsid w:val="2A6061FA"/>
    <w:rsid w:val="2A9E7D3E"/>
    <w:rsid w:val="2AA16A05"/>
    <w:rsid w:val="2ACD2377"/>
    <w:rsid w:val="2AD43AD9"/>
    <w:rsid w:val="2AE41477"/>
    <w:rsid w:val="2B7C4894"/>
    <w:rsid w:val="2B7D448A"/>
    <w:rsid w:val="2B7F36F4"/>
    <w:rsid w:val="2BC06237"/>
    <w:rsid w:val="2BC451DD"/>
    <w:rsid w:val="2C0916A3"/>
    <w:rsid w:val="2C1B229F"/>
    <w:rsid w:val="2C467D54"/>
    <w:rsid w:val="2C4C356D"/>
    <w:rsid w:val="2C772E9D"/>
    <w:rsid w:val="2CCC5824"/>
    <w:rsid w:val="2CF12878"/>
    <w:rsid w:val="2D000850"/>
    <w:rsid w:val="2D365A9A"/>
    <w:rsid w:val="2D373649"/>
    <w:rsid w:val="2D6A081E"/>
    <w:rsid w:val="2D735F1A"/>
    <w:rsid w:val="2D870320"/>
    <w:rsid w:val="2D8D3577"/>
    <w:rsid w:val="2D973A2A"/>
    <w:rsid w:val="2D992B65"/>
    <w:rsid w:val="2D9B2C59"/>
    <w:rsid w:val="2DB96C27"/>
    <w:rsid w:val="2E0E1ACA"/>
    <w:rsid w:val="2E706091"/>
    <w:rsid w:val="2EC4460B"/>
    <w:rsid w:val="2EDD3E09"/>
    <w:rsid w:val="2EF945EE"/>
    <w:rsid w:val="2EFD7117"/>
    <w:rsid w:val="2F051A4F"/>
    <w:rsid w:val="2F0E29F7"/>
    <w:rsid w:val="2F2C3288"/>
    <w:rsid w:val="2FDC166B"/>
    <w:rsid w:val="2FFA4F58"/>
    <w:rsid w:val="3026776F"/>
    <w:rsid w:val="305E4FEB"/>
    <w:rsid w:val="30977E04"/>
    <w:rsid w:val="30B75A1B"/>
    <w:rsid w:val="30E00AF0"/>
    <w:rsid w:val="3130438D"/>
    <w:rsid w:val="31E628DF"/>
    <w:rsid w:val="32372C2C"/>
    <w:rsid w:val="326D2DBC"/>
    <w:rsid w:val="32A039E3"/>
    <w:rsid w:val="32B42531"/>
    <w:rsid w:val="32C33932"/>
    <w:rsid w:val="32E73297"/>
    <w:rsid w:val="33A07BE4"/>
    <w:rsid w:val="33C365B8"/>
    <w:rsid w:val="34201087"/>
    <w:rsid w:val="34662018"/>
    <w:rsid w:val="34922F2A"/>
    <w:rsid w:val="34BA6EF0"/>
    <w:rsid w:val="34C07706"/>
    <w:rsid w:val="34EF4346"/>
    <w:rsid w:val="350A79AB"/>
    <w:rsid w:val="35553613"/>
    <w:rsid w:val="35C43605"/>
    <w:rsid w:val="35E70DA6"/>
    <w:rsid w:val="35FF67DD"/>
    <w:rsid w:val="36350E27"/>
    <w:rsid w:val="364642F8"/>
    <w:rsid w:val="36B03928"/>
    <w:rsid w:val="36BC0669"/>
    <w:rsid w:val="36CD3903"/>
    <w:rsid w:val="379D4CFD"/>
    <w:rsid w:val="37A40F81"/>
    <w:rsid w:val="37B62A4C"/>
    <w:rsid w:val="37CA27B2"/>
    <w:rsid w:val="37E861C2"/>
    <w:rsid w:val="38777C43"/>
    <w:rsid w:val="38B5457A"/>
    <w:rsid w:val="38C96909"/>
    <w:rsid w:val="38DA4706"/>
    <w:rsid w:val="38FE1BB2"/>
    <w:rsid w:val="391A2A30"/>
    <w:rsid w:val="39382809"/>
    <w:rsid w:val="396532C1"/>
    <w:rsid w:val="39CD0653"/>
    <w:rsid w:val="39F00BF1"/>
    <w:rsid w:val="39F3212E"/>
    <w:rsid w:val="39F65568"/>
    <w:rsid w:val="3A307648"/>
    <w:rsid w:val="3A397C16"/>
    <w:rsid w:val="3A5F4C48"/>
    <w:rsid w:val="3A6B24FF"/>
    <w:rsid w:val="3A860255"/>
    <w:rsid w:val="3A96537E"/>
    <w:rsid w:val="3ACD45DD"/>
    <w:rsid w:val="3AD75F11"/>
    <w:rsid w:val="3B4A729C"/>
    <w:rsid w:val="3B4E60AE"/>
    <w:rsid w:val="3B7437CF"/>
    <w:rsid w:val="3B744750"/>
    <w:rsid w:val="3B8917DC"/>
    <w:rsid w:val="3BC12354"/>
    <w:rsid w:val="3BEB40FE"/>
    <w:rsid w:val="3C214699"/>
    <w:rsid w:val="3C374482"/>
    <w:rsid w:val="3C6F003A"/>
    <w:rsid w:val="3CCE1F97"/>
    <w:rsid w:val="3CFB515E"/>
    <w:rsid w:val="3D012483"/>
    <w:rsid w:val="3D090F83"/>
    <w:rsid w:val="3D605650"/>
    <w:rsid w:val="3D7122FE"/>
    <w:rsid w:val="3D8D5201"/>
    <w:rsid w:val="3D9D73F7"/>
    <w:rsid w:val="3DB8684C"/>
    <w:rsid w:val="3DCC3A97"/>
    <w:rsid w:val="3E1516C8"/>
    <w:rsid w:val="3E1627CF"/>
    <w:rsid w:val="3E407BB0"/>
    <w:rsid w:val="3E997BFF"/>
    <w:rsid w:val="3EE17330"/>
    <w:rsid w:val="3EED057B"/>
    <w:rsid w:val="3F033EB5"/>
    <w:rsid w:val="3FF15F9A"/>
    <w:rsid w:val="40454332"/>
    <w:rsid w:val="407836D3"/>
    <w:rsid w:val="408314A4"/>
    <w:rsid w:val="409961DC"/>
    <w:rsid w:val="409A69D6"/>
    <w:rsid w:val="40A33857"/>
    <w:rsid w:val="40AD2440"/>
    <w:rsid w:val="41792933"/>
    <w:rsid w:val="417C0F1B"/>
    <w:rsid w:val="41CF1374"/>
    <w:rsid w:val="423E0EBE"/>
    <w:rsid w:val="42417B01"/>
    <w:rsid w:val="42A0166A"/>
    <w:rsid w:val="42B54BC9"/>
    <w:rsid w:val="42E1036B"/>
    <w:rsid w:val="42F00B51"/>
    <w:rsid w:val="431079A8"/>
    <w:rsid w:val="43415B6D"/>
    <w:rsid w:val="435E1BBE"/>
    <w:rsid w:val="43713ECF"/>
    <w:rsid w:val="43821535"/>
    <w:rsid w:val="438C48E7"/>
    <w:rsid w:val="43AA72ED"/>
    <w:rsid w:val="43B6192F"/>
    <w:rsid w:val="43DA7A6B"/>
    <w:rsid w:val="440B09CE"/>
    <w:rsid w:val="440D6740"/>
    <w:rsid w:val="443B01A7"/>
    <w:rsid w:val="44DC2B5F"/>
    <w:rsid w:val="452E68D9"/>
    <w:rsid w:val="45306F77"/>
    <w:rsid w:val="45801C85"/>
    <w:rsid w:val="45E515FD"/>
    <w:rsid w:val="463B43E1"/>
    <w:rsid w:val="46934726"/>
    <w:rsid w:val="469A0F01"/>
    <w:rsid w:val="46DD2039"/>
    <w:rsid w:val="46E131E3"/>
    <w:rsid w:val="47140D77"/>
    <w:rsid w:val="471B1465"/>
    <w:rsid w:val="47BB3440"/>
    <w:rsid w:val="47E25479"/>
    <w:rsid w:val="47E905B6"/>
    <w:rsid w:val="47F670E2"/>
    <w:rsid w:val="47FA603D"/>
    <w:rsid w:val="482D730C"/>
    <w:rsid w:val="485328E8"/>
    <w:rsid w:val="486937F1"/>
    <w:rsid w:val="489830A8"/>
    <w:rsid w:val="48CE2C1D"/>
    <w:rsid w:val="48F54AA4"/>
    <w:rsid w:val="48FD7139"/>
    <w:rsid w:val="490B5559"/>
    <w:rsid w:val="491C197E"/>
    <w:rsid w:val="495A3A75"/>
    <w:rsid w:val="49640E85"/>
    <w:rsid w:val="49C04EA2"/>
    <w:rsid w:val="49C54062"/>
    <w:rsid w:val="49C54FB5"/>
    <w:rsid w:val="4A1C3FBA"/>
    <w:rsid w:val="4A423BAD"/>
    <w:rsid w:val="4A856F39"/>
    <w:rsid w:val="4AED005E"/>
    <w:rsid w:val="4B3D0D66"/>
    <w:rsid w:val="4B67256D"/>
    <w:rsid w:val="4B7E13CA"/>
    <w:rsid w:val="4BB22716"/>
    <w:rsid w:val="4BF70576"/>
    <w:rsid w:val="4C214DC1"/>
    <w:rsid w:val="4C44316F"/>
    <w:rsid w:val="4C6A6B14"/>
    <w:rsid w:val="4C925FBE"/>
    <w:rsid w:val="4C937241"/>
    <w:rsid w:val="4CAF7524"/>
    <w:rsid w:val="4CB81CDB"/>
    <w:rsid w:val="4CEA6683"/>
    <w:rsid w:val="4CEE6A84"/>
    <w:rsid w:val="4D26470D"/>
    <w:rsid w:val="4D931670"/>
    <w:rsid w:val="4D9D7463"/>
    <w:rsid w:val="4DA66DF2"/>
    <w:rsid w:val="4E133AD3"/>
    <w:rsid w:val="4E292CDB"/>
    <w:rsid w:val="4E366807"/>
    <w:rsid w:val="4E531631"/>
    <w:rsid w:val="4EB23368"/>
    <w:rsid w:val="4EC80D34"/>
    <w:rsid w:val="4F021642"/>
    <w:rsid w:val="4F062522"/>
    <w:rsid w:val="4F124C8D"/>
    <w:rsid w:val="4F2014BA"/>
    <w:rsid w:val="4F2E72F4"/>
    <w:rsid w:val="4F3E1947"/>
    <w:rsid w:val="4F5328C2"/>
    <w:rsid w:val="4FC5592F"/>
    <w:rsid w:val="4FCD53A2"/>
    <w:rsid w:val="4FCF3A50"/>
    <w:rsid w:val="4FD761D5"/>
    <w:rsid w:val="4FEC44EB"/>
    <w:rsid w:val="50A56B0F"/>
    <w:rsid w:val="50C12C3D"/>
    <w:rsid w:val="50C7092F"/>
    <w:rsid w:val="50D25414"/>
    <w:rsid w:val="50D6427A"/>
    <w:rsid w:val="51412A24"/>
    <w:rsid w:val="51535E50"/>
    <w:rsid w:val="51575805"/>
    <w:rsid w:val="516A2B6B"/>
    <w:rsid w:val="518A163F"/>
    <w:rsid w:val="51C64593"/>
    <w:rsid w:val="51D17082"/>
    <w:rsid w:val="521F583C"/>
    <w:rsid w:val="523B5BC2"/>
    <w:rsid w:val="52850885"/>
    <w:rsid w:val="52FD7858"/>
    <w:rsid w:val="52FF77EE"/>
    <w:rsid w:val="53101248"/>
    <w:rsid w:val="535009CC"/>
    <w:rsid w:val="535154A7"/>
    <w:rsid w:val="53850FB2"/>
    <w:rsid w:val="53BE616B"/>
    <w:rsid w:val="53C971BA"/>
    <w:rsid w:val="541524CD"/>
    <w:rsid w:val="54510256"/>
    <w:rsid w:val="545976BF"/>
    <w:rsid w:val="54795C7E"/>
    <w:rsid w:val="54AC1C51"/>
    <w:rsid w:val="54B466C8"/>
    <w:rsid w:val="554051AD"/>
    <w:rsid w:val="555A6458"/>
    <w:rsid w:val="557409DC"/>
    <w:rsid w:val="5589777F"/>
    <w:rsid w:val="559F32DB"/>
    <w:rsid w:val="55A05932"/>
    <w:rsid w:val="55B33446"/>
    <w:rsid w:val="55E42FA4"/>
    <w:rsid w:val="56084843"/>
    <w:rsid w:val="56282493"/>
    <w:rsid w:val="56392FD2"/>
    <w:rsid w:val="568874CE"/>
    <w:rsid w:val="568D3588"/>
    <w:rsid w:val="56BF603B"/>
    <w:rsid w:val="56D5188C"/>
    <w:rsid w:val="56E322E1"/>
    <w:rsid w:val="56FD047F"/>
    <w:rsid w:val="57376FBE"/>
    <w:rsid w:val="57963D81"/>
    <w:rsid w:val="57963E56"/>
    <w:rsid w:val="57A62EAD"/>
    <w:rsid w:val="57CD25CE"/>
    <w:rsid w:val="57E21F19"/>
    <w:rsid w:val="58A5600E"/>
    <w:rsid w:val="58B61FA2"/>
    <w:rsid w:val="58D35279"/>
    <w:rsid w:val="591D295D"/>
    <w:rsid w:val="59465348"/>
    <w:rsid w:val="59DF140A"/>
    <w:rsid w:val="5A5B4ECE"/>
    <w:rsid w:val="5A9849BD"/>
    <w:rsid w:val="5AE54863"/>
    <w:rsid w:val="5B076556"/>
    <w:rsid w:val="5B081B2D"/>
    <w:rsid w:val="5B162869"/>
    <w:rsid w:val="5B320812"/>
    <w:rsid w:val="5B8C3DCE"/>
    <w:rsid w:val="5BB90294"/>
    <w:rsid w:val="5BED6CE2"/>
    <w:rsid w:val="5C195ADB"/>
    <w:rsid w:val="5C270B5A"/>
    <w:rsid w:val="5C596864"/>
    <w:rsid w:val="5CC3643D"/>
    <w:rsid w:val="5CCC52B2"/>
    <w:rsid w:val="5D237453"/>
    <w:rsid w:val="5D677890"/>
    <w:rsid w:val="5D8238FE"/>
    <w:rsid w:val="5D8C6EBF"/>
    <w:rsid w:val="5DAC07DC"/>
    <w:rsid w:val="5DBC7BD9"/>
    <w:rsid w:val="5DE1789F"/>
    <w:rsid w:val="5DEE728C"/>
    <w:rsid w:val="5DFA5220"/>
    <w:rsid w:val="5DFA6B87"/>
    <w:rsid w:val="5E024AAC"/>
    <w:rsid w:val="5E401669"/>
    <w:rsid w:val="5E6B678A"/>
    <w:rsid w:val="5ED4009B"/>
    <w:rsid w:val="5EE7495D"/>
    <w:rsid w:val="5F0F2F37"/>
    <w:rsid w:val="5F185822"/>
    <w:rsid w:val="5F233F24"/>
    <w:rsid w:val="5F6153BB"/>
    <w:rsid w:val="5F8C5F9E"/>
    <w:rsid w:val="601D49E2"/>
    <w:rsid w:val="60635EE8"/>
    <w:rsid w:val="606E1EDA"/>
    <w:rsid w:val="607E463E"/>
    <w:rsid w:val="608532A6"/>
    <w:rsid w:val="60AF3DB6"/>
    <w:rsid w:val="60FA7964"/>
    <w:rsid w:val="613827C8"/>
    <w:rsid w:val="616B0D5E"/>
    <w:rsid w:val="61750225"/>
    <w:rsid w:val="61C00531"/>
    <w:rsid w:val="62203EE1"/>
    <w:rsid w:val="6228558A"/>
    <w:rsid w:val="62443E46"/>
    <w:rsid w:val="625128FC"/>
    <w:rsid w:val="6298104B"/>
    <w:rsid w:val="62A17850"/>
    <w:rsid w:val="62BB4CB6"/>
    <w:rsid w:val="62C46EE5"/>
    <w:rsid w:val="62F0541A"/>
    <w:rsid w:val="63073538"/>
    <w:rsid w:val="6317621B"/>
    <w:rsid w:val="635E1D55"/>
    <w:rsid w:val="637272BC"/>
    <w:rsid w:val="639C0AED"/>
    <w:rsid w:val="63AA6A15"/>
    <w:rsid w:val="63C21D26"/>
    <w:rsid w:val="643844C1"/>
    <w:rsid w:val="64C3423A"/>
    <w:rsid w:val="64DF46E5"/>
    <w:rsid w:val="64F7646F"/>
    <w:rsid w:val="656A3512"/>
    <w:rsid w:val="657945EA"/>
    <w:rsid w:val="658A4929"/>
    <w:rsid w:val="659C73AD"/>
    <w:rsid w:val="65B53114"/>
    <w:rsid w:val="65B659D2"/>
    <w:rsid w:val="65ED2A1B"/>
    <w:rsid w:val="65F5475C"/>
    <w:rsid w:val="65FF0840"/>
    <w:rsid w:val="66060E59"/>
    <w:rsid w:val="660A4813"/>
    <w:rsid w:val="66AC02EF"/>
    <w:rsid w:val="66AE226F"/>
    <w:rsid w:val="678925BA"/>
    <w:rsid w:val="67A6773B"/>
    <w:rsid w:val="67F50255"/>
    <w:rsid w:val="681234B1"/>
    <w:rsid w:val="682E1E99"/>
    <w:rsid w:val="68443288"/>
    <w:rsid w:val="688C3EFE"/>
    <w:rsid w:val="68C75203"/>
    <w:rsid w:val="68F354C1"/>
    <w:rsid w:val="68F45EE6"/>
    <w:rsid w:val="68F81D57"/>
    <w:rsid w:val="68FF7225"/>
    <w:rsid w:val="69131DE7"/>
    <w:rsid w:val="694F6E53"/>
    <w:rsid w:val="699C5AC0"/>
    <w:rsid w:val="69FC4F72"/>
    <w:rsid w:val="6A5E46A8"/>
    <w:rsid w:val="6A8C7A80"/>
    <w:rsid w:val="6ABC3835"/>
    <w:rsid w:val="6AC11E53"/>
    <w:rsid w:val="6ADA53CD"/>
    <w:rsid w:val="6B106767"/>
    <w:rsid w:val="6B431208"/>
    <w:rsid w:val="6B607C90"/>
    <w:rsid w:val="6B723B44"/>
    <w:rsid w:val="6BC5014E"/>
    <w:rsid w:val="6C3B499A"/>
    <w:rsid w:val="6C400016"/>
    <w:rsid w:val="6C766527"/>
    <w:rsid w:val="6CB43ACA"/>
    <w:rsid w:val="6CCE5E30"/>
    <w:rsid w:val="6CD526A0"/>
    <w:rsid w:val="6D041495"/>
    <w:rsid w:val="6D2B0E24"/>
    <w:rsid w:val="6D680945"/>
    <w:rsid w:val="6D6B65F4"/>
    <w:rsid w:val="6D951A00"/>
    <w:rsid w:val="6DBC24C5"/>
    <w:rsid w:val="6DC47760"/>
    <w:rsid w:val="6DD6199E"/>
    <w:rsid w:val="6E257B42"/>
    <w:rsid w:val="6E3D6EF7"/>
    <w:rsid w:val="6E6318E6"/>
    <w:rsid w:val="6EA26672"/>
    <w:rsid w:val="6EBE180C"/>
    <w:rsid w:val="6ECA6BC1"/>
    <w:rsid w:val="6ED726E3"/>
    <w:rsid w:val="6EEC3703"/>
    <w:rsid w:val="6EFB4D74"/>
    <w:rsid w:val="6F3F526C"/>
    <w:rsid w:val="6FAF76B7"/>
    <w:rsid w:val="6FFB60CB"/>
    <w:rsid w:val="70082791"/>
    <w:rsid w:val="70241D4E"/>
    <w:rsid w:val="7053588B"/>
    <w:rsid w:val="70852B02"/>
    <w:rsid w:val="708E421E"/>
    <w:rsid w:val="709A320E"/>
    <w:rsid w:val="70E54E2D"/>
    <w:rsid w:val="710F1C73"/>
    <w:rsid w:val="711C55FB"/>
    <w:rsid w:val="714E369E"/>
    <w:rsid w:val="719955D4"/>
    <w:rsid w:val="71D906FC"/>
    <w:rsid w:val="71FA0075"/>
    <w:rsid w:val="72026E5C"/>
    <w:rsid w:val="721C217C"/>
    <w:rsid w:val="72CA0DDA"/>
    <w:rsid w:val="72E56680"/>
    <w:rsid w:val="72F65E4D"/>
    <w:rsid w:val="730155C6"/>
    <w:rsid w:val="73146662"/>
    <w:rsid w:val="737A7DC2"/>
    <w:rsid w:val="73B64662"/>
    <w:rsid w:val="73BC19A2"/>
    <w:rsid w:val="73F37195"/>
    <w:rsid w:val="747E6B03"/>
    <w:rsid w:val="74996745"/>
    <w:rsid w:val="74D131EA"/>
    <w:rsid w:val="750F5791"/>
    <w:rsid w:val="7513767B"/>
    <w:rsid w:val="752207B4"/>
    <w:rsid w:val="755002B7"/>
    <w:rsid w:val="75597EAB"/>
    <w:rsid w:val="756E095B"/>
    <w:rsid w:val="757342E4"/>
    <w:rsid w:val="75810F02"/>
    <w:rsid w:val="75923D16"/>
    <w:rsid w:val="75BF376D"/>
    <w:rsid w:val="768502A5"/>
    <w:rsid w:val="77225AD2"/>
    <w:rsid w:val="7740416E"/>
    <w:rsid w:val="776F156C"/>
    <w:rsid w:val="77944D3E"/>
    <w:rsid w:val="78220ADF"/>
    <w:rsid w:val="78436B85"/>
    <w:rsid w:val="78443346"/>
    <w:rsid w:val="784A49FB"/>
    <w:rsid w:val="7858071D"/>
    <w:rsid w:val="785C0913"/>
    <w:rsid w:val="788F5AC6"/>
    <w:rsid w:val="78BB7A11"/>
    <w:rsid w:val="78DD4E0E"/>
    <w:rsid w:val="792E2FE7"/>
    <w:rsid w:val="794C1744"/>
    <w:rsid w:val="79A64F84"/>
    <w:rsid w:val="79B745C6"/>
    <w:rsid w:val="79C770F7"/>
    <w:rsid w:val="7A3F43E6"/>
    <w:rsid w:val="7A674C36"/>
    <w:rsid w:val="7ABC6D2F"/>
    <w:rsid w:val="7AE1408A"/>
    <w:rsid w:val="7AE51C13"/>
    <w:rsid w:val="7AE83ABA"/>
    <w:rsid w:val="7B1812F9"/>
    <w:rsid w:val="7B6C672B"/>
    <w:rsid w:val="7B8B72B2"/>
    <w:rsid w:val="7BD23232"/>
    <w:rsid w:val="7BEC3212"/>
    <w:rsid w:val="7BF5313C"/>
    <w:rsid w:val="7C32269D"/>
    <w:rsid w:val="7C9D7E92"/>
    <w:rsid w:val="7CF20F99"/>
    <w:rsid w:val="7D0209D3"/>
    <w:rsid w:val="7D321335"/>
    <w:rsid w:val="7D8B51E9"/>
    <w:rsid w:val="7D994B05"/>
    <w:rsid w:val="7DBF6D97"/>
    <w:rsid w:val="7E21482D"/>
    <w:rsid w:val="7E4F1A65"/>
    <w:rsid w:val="7E977D02"/>
    <w:rsid w:val="7F007474"/>
    <w:rsid w:val="7F2D567C"/>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790C51-02D4-4CCE-83A4-010CAA7B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200" w:hangingChars="200" w:hanging="200"/>
      <w:contextualSpacing/>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semiHidden/>
    <w:qFormat/>
  </w:style>
  <w:style w:type="character" w:styleId="af5">
    <w:name w:val="FollowedHyperlink"/>
    <w:basedOn w:val="a0"/>
    <w:uiPriority w:val="99"/>
    <w:semiHidden/>
    <w:unhideWhenUsed/>
    <w:qFormat/>
    <w:rPr>
      <w:color w:val="666666"/>
      <w:u w:val="none"/>
    </w:rPr>
  </w:style>
  <w:style w:type="character" w:styleId="af6">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7">
    <w:name w:val="Hyperlink"/>
    <w:uiPriority w:val="99"/>
    <w:unhideWhenUsed/>
    <w:qFormat/>
    <w:rPr>
      <w:color w:val="0000FF"/>
      <w:u w:val="single"/>
    </w:rPr>
  </w:style>
  <w:style w:type="character" w:styleId="HTML2">
    <w:name w:val="HTML Code"/>
    <w:basedOn w:val="a0"/>
    <w:uiPriority w:val="99"/>
    <w:semiHidden/>
    <w:unhideWhenUsed/>
    <w:qFormat/>
    <w:rPr>
      <w:rFonts w:ascii="Courier New" w:hAnsi="Courier New"/>
      <w:sz w:val="20"/>
    </w:rPr>
  </w:style>
  <w:style w:type="character" w:styleId="af8">
    <w:name w:val="annotation reference"/>
    <w:uiPriority w:val="99"/>
    <w:unhideWhenUsed/>
    <w:qFormat/>
    <w:rPr>
      <w:sz w:val="16"/>
      <w:szCs w:val="16"/>
    </w:rPr>
  </w:style>
  <w:style w:type="character" w:styleId="HTML3">
    <w:name w:val="HTML Cite"/>
    <w:basedOn w:val="a0"/>
    <w:uiPriority w:val="99"/>
    <w:semiHidden/>
    <w:unhideWhenUsed/>
    <w:qFormat/>
  </w:style>
  <w:style w:type="character" w:customStyle="1" w:styleId="Char6">
    <w:name w:val="批注框文本 Char"/>
    <w:link w:val="ab"/>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link w:val="a8"/>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e"/>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a">
    <w:name w:val="List Paragraph"/>
    <w:basedOn w:val="a"/>
    <w:uiPriority w:val="99"/>
    <w:qFormat/>
    <w:pPr>
      <w:ind w:firstLineChars="200" w:firstLine="420"/>
    </w:p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7"/>
    <w:qFormat/>
    <w:pPr>
      <w:tabs>
        <w:tab w:val="left" w:pos="1701"/>
        <w:tab w:val="right" w:pos="9639"/>
      </w:tabs>
      <w:spacing w:after="240"/>
    </w:pPr>
    <w:rPr>
      <w:b/>
      <w:sz w:val="24"/>
    </w:rPr>
  </w:style>
  <w:style w:type="character" w:customStyle="1" w:styleId="IvDbodytextChar">
    <w:name w:val="IvD bodytext Char"/>
    <w:link w:val="IvDbodytext"/>
    <w:qFormat/>
    <w:rPr>
      <w:rFonts w:ascii="Arial" w:eastAsia="Malgun Gothic" w:hAnsi="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ProposalChar">
    <w:name w:val="Proposal Char"/>
    <w:link w:val="Proposal"/>
    <w:qFormat/>
    <w:rPr>
      <w:rFonts w:ascii="Times New Roman" w:eastAsia="Times New Roman" w:hAnsi="Times New Roman"/>
      <w:b/>
      <w:bCs/>
      <w:szCs w:val="20"/>
    </w:rPr>
  </w:style>
  <w:style w:type="character" w:customStyle="1" w:styleId="focus">
    <w:name w:val="focus"/>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34DDA-47F6-4947-8248-CE17CA1D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805</Words>
  <Characters>4591</Characters>
  <Application>Microsoft Office Word</Application>
  <DocSecurity>0</DocSecurity>
  <Lines>38</Lines>
  <Paragraphs>10</Paragraphs>
  <ScaleCrop>false</ScaleCrop>
  <Company>HP</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20</cp:revision>
  <dcterms:created xsi:type="dcterms:W3CDTF">2020-07-30T22:55:00Z</dcterms:created>
  <dcterms:modified xsi:type="dcterms:W3CDTF">2020-08-07T14:57:00Z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